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E01F" w14:textId="77777777" w:rsidR="00FE5E53" w:rsidRDefault="00FE5E53" w:rsidP="00FE5E53">
      <w:pPr>
        <w:jc w:val="both"/>
        <w:rPr>
          <w:lang w:eastAsia="nl-BE"/>
        </w:rPr>
      </w:pPr>
      <w:r>
        <w:rPr>
          <w:lang w:eastAsia="nl-BE"/>
        </w:rPr>
        <w:t xml:space="preserve">Beste (kerk)mensen hier aanwezig, </w:t>
      </w:r>
    </w:p>
    <w:p w14:paraId="690EE020" w14:textId="77777777" w:rsidR="00FE5E53" w:rsidRDefault="00FE5E53" w:rsidP="00FE5E53">
      <w:pPr>
        <w:jc w:val="both"/>
        <w:rPr>
          <w:lang w:eastAsia="nl-BE"/>
        </w:rPr>
      </w:pPr>
    </w:p>
    <w:p w14:paraId="690EE021" w14:textId="77777777" w:rsidR="00FE5E53" w:rsidRPr="00EC4A60" w:rsidRDefault="00FE5E53" w:rsidP="00FE5E53">
      <w:pPr>
        <w:jc w:val="both"/>
        <w:rPr>
          <w:lang w:eastAsia="nl-BE"/>
        </w:rPr>
      </w:pPr>
      <w:r>
        <w:rPr>
          <w:lang w:eastAsia="nl-BE"/>
        </w:rPr>
        <w:t>v</w:t>
      </w:r>
      <w:r w:rsidRPr="00EC4A60">
        <w:rPr>
          <w:lang w:eastAsia="nl-BE"/>
        </w:rPr>
        <w:t>an oudsher zijn er in de Rooms-katholieke Kerk</w:t>
      </w:r>
      <w:r>
        <w:rPr>
          <w:lang w:eastAsia="nl-BE"/>
        </w:rPr>
        <w:t xml:space="preserve"> </w:t>
      </w:r>
      <w:r w:rsidRPr="00EC4A60">
        <w:rPr>
          <w:lang w:eastAsia="nl-BE"/>
        </w:rPr>
        <w:t xml:space="preserve">zeven wijdingsgraden. Vier daarvan zijn </w:t>
      </w:r>
      <w:r>
        <w:rPr>
          <w:lang w:eastAsia="nl-BE"/>
        </w:rPr>
        <w:t>de zogenaamde ‘</w:t>
      </w:r>
      <w:r w:rsidRPr="00EC4A60">
        <w:rPr>
          <w:lang w:eastAsia="nl-BE"/>
        </w:rPr>
        <w:t>lagere wijdingen</w:t>
      </w:r>
      <w:r>
        <w:rPr>
          <w:lang w:eastAsia="nl-BE"/>
        </w:rPr>
        <w:t>’</w:t>
      </w:r>
      <w:r w:rsidRPr="00EC4A60">
        <w:rPr>
          <w:lang w:eastAsia="nl-BE"/>
        </w:rPr>
        <w:t xml:space="preserve">, de laatste drie zijn de </w:t>
      </w:r>
      <w:r>
        <w:rPr>
          <w:lang w:eastAsia="nl-BE"/>
        </w:rPr>
        <w:t>‘</w:t>
      </w:r>
      <w:r w:rsidRPr="00EC4A60">
        <w:rPr>
          <w:lang w:eastAsia="nl-BE"/>
        </w:rPr>
        <w:t>hogere wijdingen</w:t>
      </w:r>
      <w:r>
        <w:rPr>
          <w:lang w:eastAsia="nl-BE"/>
        </w:rPr>
        <w:t>’</w:t>
      </w:r>
      <w:r w:rsidRPr="00EC4A60">
        <w:rPr>
          <w:lang w:eastAsia="nl-BE"/>
        </w:rPr>
        <w:t>.</w:t>
      </w:r>
    </w:p>
    <w:p w14:paraId="690EE022" w14:textId="77777777" w:rsidR="00FE5E53" w:rsidRDefault="00FE5E53" w:rsidP="00FE5E53">
      <w:pPr>
        <w:jc w:val="both"/>
        <w:rPr>
          <w:b/>
          <w:i/>
          <w:lang w:eastAsia="nl-BE"/>
        </w:rPr>
      </w:pPr>
    </w:p>
    <w:p w14:paraId="690EE023" w14:textId="77777777" w:rsidR="00FE5E53" w:rsidRPr="00EC4A60" w:rsidRDefault="00FE5E53" w:rsidP="00FE5E53">
      <w:pPr>
        <w:jc w:val="both"/>
        <w:rPr>
          <w:b/>
          <w:i/>
          <w:lang w:eastAsia="nl-BE"/>
        </w:rPr>
      </w:pPr>
      <w:r>
        <w:rPr>
          <w:b/>
          <w:i/>
          <w:lang w:eastAsia="nl-BE"/>
        </w:rPr>
        <w:t>Ik citeer even u</w:t>
      </w:r>
      <w:r w:rsidRPr="00EC4A60">
        <w:rPr>
          <w:b/>
          <w:i/>
          <w:lang w:eastAsia="nl-BE"/>
        </w:rPr>
        <w:t xml:space="preserve">it Wikipedia, de </w:t>
      </w:r>
      <w:r>
        <w:rPr>
          <w:b/>
          <w:i/>
          <w:lang w:eastAsia="nl-BE"/>
        </w:rPr>
        <w:t>alom bekende ‘</w:t>
      </w:r>
      <w:r w:rsidRPr="00EC4A60">
        <w:rPr>
          <w:b/>
          <w:i/>
          <w:lang w:eastAsia="nl-BE"/>
        </w:rPr>
        <w:t>vrije encyclopedie</w:t>
      </w:r>
      <w:r>
        <w:rPr>
          <w:b/>
          <w:i/>
          <w:lang w:eastAsia="nl-BE"/>
        </w:rPr>
        <w:t>’:</w:t>
      </w:r>
    </w:p>
    <w:p w14:paraId="690EE024" w14:textId="77777777" w:rsidR="00FE5E53" w:rsidRDefault="00FE5E53" w:rsidP="00FE5E53">
      <w:pPr>
        <w:jc w:val="both"/>
        <w:rPr>
          <w:lang w:eastAsia="nl-BE"/>
        </w:rPr>
      </w:pPr>
    </w:p>
    <w:p w14:paraId="690EE025" w14:textId="77777777" w:rsidR="00FE5E53" w:rsidRPr="00EC4A60" w:rsidRDefault="00FE5E53" w:rsidP="00FE5E53">
      <w:pPr>
        <w:jc w:val="both"/>
        <w:rPr>
          <w:lang w:eastAsia="nl-BE"/>
        </w:rPr>
      </w:pPr>
      <w:r w:rsidRPr="00EC4A60">
        <w:rPr>
          <w:lang w:eastAsia="nl-BE"/>
        </w:rPr>
        <w:t xml:space="preserve">De </w:t>
      </w:r>
      <w:r w:rsidRPr="00EC4A60">
        <w:rPr>
          <w:b/>
          <w:bCs/>
          <w:lang w:eastAsia="nl-BE"/>
        </w:rPr>
        <w:t>vier lagere wijdingen</w:t>
      </w:r>
      <w:r w:rsidRPr="00EC4A60">
        <w:rPr>
          <w:lang w:eastAsia="nl-BE"/>
        </w:rPr>
        <w:t xml:space="preserve"> (ook wel: </w:t>
      </w:r>
      <w:r w:rsidRPr="00EC4A60">
        <w:rPr>
          <w:i/>
          <w:iCs/>
          <w:lang w:eastAsia="nl-BE"/>
        </w:rPr>
        <w:t>kleine wijdingen</w:t>
      </w:r>
      <w:r w:rsidRPr="00EC4A60">
        <w:rPr>
          <w:lang w:eastAsia="nl-BE"/>
        </w:rPr>
        <w:t>) zijn</w:t>
      </w:r>
      <w:r>
        <w:rPr>
          <w:lang w:eastAsia="nl-BE"/>
        </w:rPr>
        <w:t>:</w:t>
      </w:r>
    </w:p>
    <w:p w14:paraId="690EE026" w14:textId="77777777" w:rsidR="00FE5E53" w:rsidRPr="00EC4A60" w:rsidRDefault="00FE5E53" w:rsidP="00FE5E53">
      <w:pPr>
        <w:numPr>
          <w:ilvl w:val="0"/>
          <w:numId w:val="1"/>
        </w:numPr>
        <w:jc w:val="both"/>
        <w:rPr>
          <w:lang w:eastAsia="nl-BE"/>
        </w:rPr>
      </w:pPr>
      <w:hyperlink r:id="rId7" w:tooltip="Ostiarius" w:history="1">
        <w:proofErr w:type="spellStart"/>
        <w:r w:rsidRPr="00EC4A60">
          <w:rPr>
            <w:lang w:eastAsia="nl-BE"/>
          </w:rPr>
          <w:t>Ostiarius</w:t>
        </w:r>
        <w:proofErr w:type="spellEnd"/>
      </w:hyperlink>
      <w:r w:rsidRPr="00EC4A60">
        <w:rPr>
          <w:lang w:eastAsia="nl-BE"/>
        </w:rPr>
        <w:t xml:space="preserve"> (</w:t>
      </w:r>
      <w:r>
        <w:rPr>
          <w:lang w:eastAsia="nl-BE"/>
        </w:rPr>
        <w:t>portier, deurbewaarder of deurwachter</w:t>
      </w:r>
      <w:r w:rsidRPr="00EC4A60">
        <w:rPr>
          <w:lang w:eastAsia="nl-BE"/>
        </w:rPr>
        <w:t>)</w:t>
      </w:r>
    </w:p>
    <w:p w14:paraId="690EE027" w14:textId="77777777" w:rsidR="00FE5E53" w:rsidRPr="00EC4A60" w:rsidRDefault="00FE5E53" w:rsidP="00FE5E53">
      <w:pPr>
        <w:numPr>
          <w:ilvl w:val="0"/>
          <w:numId w:val="1"/>
        </w:numPr>
        <w:jc w:val="both"/>
        <w:rPr>
          <w:lang w:eastAsia="nl-BE"/>
        </w:rPr>
      </w:pPr>
      <w:hyperlink r:id="rId8" w:tooltip="Lector (liturgie)" w:history="1">
        <w:r w:rsidRPr="00EC4A60">
          <w:rPr>
            <w:lang w:eastAsia="nl-BE"/>
          </w:rPr>
          <w:t>Lector</w:t>
        </w:r>
      </w:hyperlink>
      <w:r w:rsidRPr="00EC4A60">
        <w:rPr>
          <w:lang w:eastAsia="nl-BE"/>
        </w:rPr>
        <w:t xml:space="preserve"> (lezer)</w:t>
      </w:r>
    </w:p>
    <w:p w14:paraId="690EE028" w14:textId="77777777" w:rsidR="00FE5E53" w:rsidRPr="00EC4A60" w:rsidRDefault="00FE5E53" w:rsidP="00FE5E53">
      <w:pPr>
        <w:numPr>
          <w:ilvl w:val="0"/>
          <w:numId w:val="1"/>
        </w:numPr>
        <w:jc w:val="both"/>
        <w:rPr>
          <w:lang w:eastAsia="nl-BE"/>
        </w:rPr>
      </w:pPr>
      <w:hyperlink r:id="rId9" w:tooltip="Exorcist" w:history="1">
        <w:r w:rsidRPr="00EC4A60">
          <w:rPr>
            <w:lang w:eastAsia="nl-BE"/>
          </w:rPr>
          <w:t>Exorcist</w:t>
        </w:r>
      </w:hyperlink>
      <w:r w:rsidRPr="00EC4A60">
        <w:rPr>
          <w:lang w:eastAsia="nl-BE"/>
        </w:rPr>
        <w:t xml:space="preserve"> (</w:t>
      </w:r>
      <w:r>
        <w:rPr>
          <w:lang w:eastAsia="nl-BE"/>
        </w:rPr>
        <w:t>duivel</w:t>
      </w:r>
      <w:r w:rsidRPr="00EC4A60">
        <w:rPr>
          <w:lang w:eastAsia="nl-BE"/>
        </w:rPr>
        <w:t>bezweerder)</w:t>
      </w:r>
    </w:p>
    <w:p w14:paraId="690EE029" w14:textId="77777777" w:rsidR="00FE5E53" w:rsidRPr="00EC4A60" w:rsidRDefault="00FE5E53" w:rsidP="00FE5E53">
      <w:pPr>
        <w:numPr>
          <w:ilvl w:val="0"/>
          <w:numId w:val="1"/>
        </w:numPr>
        <w:jc w:val="both"/>
        <w:rPr>
          <w:lang w:eastAsia="nl-BE"/>
        </w:rPr>
      </w:pPr>
      <w:hyperlink r:id="rId10" w:tooltip="Acoliet" w:history="1">
        <w:r w:rsidRPr="00EC4A60">
          <w:rPr>
            <w:lang w:eastAsia="nl-BE"/>
          </w:rPr>
          <w:t>Acoliet</w:t>
        </w:r>
      </w:hyperlink>
      <w:r w:rsidRPr="00EC4A60">
        <w:rPr>
          <w:lang w:eastAsia="nl-BE"/>
        </w:rPr>
        <w:t xml:space="preserve"> (misdienaar)</w:t>
      </w:r>
    </w:p>
    <w:p w14:paraId="690EE02A" w14:textId="77777777" w:rsidR="00FE5E53" w:rsidRDefault="00FE5E53" w:rsidP="00FE5E53">
      <w:pPr>
        <w:jc w:val="both"/>
        <w:rPr>
          <w:lang w:eastAsia="nl-BE"/>
        </w:rPr>
      </w:pPr>
    </w:p>
    <w:p w14:paraId="690EE02B" w14:textId="77777777" w:rsidR="00FE5E53" w:rsidRPr="00EC4A60" w:rsidRDefault="00FE5E53" w:rsidP="00FE5E53">
      <w:pPr>
        <w:jc w:val="both"/>
        <w:rPr>
          <w:lang w:eastAsia="nl-BE"/>
        </w:rPr>
      </w:pPr>
      <w:r w:rsidRPr="00EC4A60">
        <w:rPr>
          <w:lang w:eastAsia="nl-BE"/>
        </w:rPr>
        <w:t xml:space="preserve">De </w:t>
      </w:r>
      <w:r w:rsidRPr="00EC4A60">
        <w:rPr>
          <w:b/>
          <w:bCs/>
          <w:lang w:eastAsia="nl-BE"/>
        </w:rPr>
        <w:t>drie hogere wijdingen</w:t>
      </w:r>
      <w:r>
        <w:rPr>
          <w:lang w:eastAsia="nl-BE"/>
        </w:rPr>
        <w:t xml:space="preserve"> (ook wel</w:t>
      </w:r>
      <w:r w:rsidRPr="00EC4A60">
        <w:rPr>
          <w:lang w:eastAsia="nl-BE"/>
        </w:rPr>
        <w:t xml:space="preserve">: </w:t>
      </w:r>
      <w:r w:rsidRPr="00EC4A60">
        <w:rPr>
          <w:i/>
          <w:iCs/>
          <w:lang w:eastAsia="nl-BE"/>
        </w:rPr>
        <w:t>grote wijdingen</w:t>
      </w:r>
      <w:r w:rsidRPr="00EC4A60">
        <w:rPr>
          <w:lang w:eastAsia="nl-BE"/>
        </w:rPr>
        <w:t>) zijn</w:t>
      </w:r>
      <w:r>
        <w:rPr>
          <w:lang w:eastAsia="nl-BE"/>
        </w:rPr>
        <w:t>:</w:t>
      </w:r>
    </w:p>
    <w:p w14:paraId="690EE02C" w14:textId="77777777" w:rsidR="00FE5E53" w:rsidRPr="00EC4A60" w:rsidRDefault="00FE5E53" w:rsidP="00FE5E53">
      <w:pPr>
        <w:numPr>
          <w:ilvl w:val="0"/>
          <w:numId w:val="2"/>
        </w:numPr>
        <w:jc w:val="both"/>
        <w:rPr>
          <w:lang w:eastAsia="nl-BE"/>
        </w:rPr>
      </w:pPr>
      <w:hyperlink r:id="rId11" w:tooltip="Subdiaken" w:history="1">
        <w:r w:rsidRPr="00EC4A60">
          <w:rPr>
            <w:lang w:eastAsia="nl-BE"/>
          </w:rPr>
          <w:t>Subdiaken</w:t>
        </w:r>
      </w:hyperlink>
    </w:p>
    <w:p w14:paraId="690EE02D" w14:textId="77777777" w:rsidR="00FE5E53" w:rsidRPr="00EC4A60" w:rsidRDefault="00FE5E53" w:rsidP="00FE5E53">
      <w:pPr>
        <w:numPr>
          <w:ilvl w:val="0"/>
          <w:numId w:val="2"/>
        </w:numPr>
        <w:jc w:val="both"/>
        <w:rPr>
          <w:lang w:eastAsia="nl-BE"/>
        </w:rPr>
      </w:pPr>
      <w:hyperlink r:id="rId12" w:tooltip="Diaken" w:history="1">
        <w:r w:rsidRPr="00EC4A60">
          <w:rPr>
            <w:lang w:eastAsia="nl-BE"/>
          </w:rPr>
          <w:t>Diaken</w:t>
        </w:r>
      </w:hyperlink>
    </w:p>
    <w:p w14:paraId="690EE02E" w14:textId="77777777" w:rsidR="00FE5E53" w:rsidRPr="00EC4A60" w:rsidRDefault="00FE5E53" w:rsidP="00FE5E53">
      <w:pPr>
        <w:numPr>
          <w:ilvl w:val="0"/>
          <w:numId w:val="2"/>
        </w:numPr>
        <w:jc w:val="both"/>
        <w:rPr>
          <w:lang w:eastAsia="nl-BE"/>
        </w:rPr>
      </w:pPr>
      <w:hyperlink r:id="rId13" w:tooltip="Priester" w:history="1">
        <w:r w:rsidRPr="00EC4A60">
          <w:rPr>
            <w:lang w:eastAsia="nl-BE"/>
          </w:rPr>
          <w:t>Priester</w:t>
        </w:r>
      </w:hyperlink>
    </w:p>
    <w:p w14:paraId="690EE02F" w14:textId="77777777" w:rsidR="00FE5E53" w:rsidRDefault="00FE5E53" w:rsidP="00FE5E53">
      <w:pPr>
        <w:jc w:val="both"/>
        <w:rPr>
          <w:lang w:eastAsia="nl-BE"/>
        </w:rPr>
      </w:pPr>
    </w:p>
    <w:p w14:paraId="690EE030" w14:textId="77777777" w:rsidR="00FE5E53" w:rsidRPr="00EC4A60" w:rsidRDefault="00FE5E53" w:rsidP="00FE5E53">
      <w:pPr>
        <w:jc w:val="both"/>
        <w:rPr>
          <w:lang w:eastAsia="nl-BE"/>
        </w:rPr>
      </w:pPr>
      <w:r w:rsidRPr="00EC4A60">
        <w:rPr>
          <w:lang w:eastAsia="nl-BE"/>
        </w:rPr>
        <w:t xml:space="preserve">Deze zeven wijdingsgraden worden in </w:t>
      </w:r>
      <w:hyperlink r:id="rId14" w:tooltip="252" w:history="1">
        <w:r w:rsidRPr="00EC4A60">
          <w:rPr>
            <w:lang w:eastAsia="nl-BE"/>
          </w:rPr>
          <w:t>252</w:t>
        </w:r>
      </w:hyperlink>
      <w:r w:rsidRPr="00EC4A60">
        <w:rPr>
          <w:lang w:eastAsia="nl-BE"/>
        </w:rPr>
        <w:t xml:space="preserve"> voor het eerst genoemd in een brief van </w:t>
      </w:r>
      <w:hyperlink r:id="rId15" w:tooltip="Paus Cornelius" w:history="1">
        <w:r w:rsidRPr="00EC4A60">
          <w:rPr>
            <w:lang w:eastAsia="nl-BE"/>
          </w:rPr>
          <w:t>Paus Cornelius</w:t>
        </w:r>
      </w:hyperlink>
      <w:r w:rsidRPr="00EC4A60">
        <w:rPr>
          <w:lang w:eastAsia="nl-BE"/>
        </w:rPr>
        <w:t>.</w:t>
      </w:r>
      <w:r>
        <w:rPr>
          <w:lang w:eastAsia="nl-BE"/>
        </w:rPr>
        <w:t xml:space="preserve"> </w:t>
      </w:r>
      <w:r w:rsidRPr="00EC4A60">
        <w:rPr>
          <w:lang w:eastAsia="nl-BE"/>
        </w:rPr>
        <w:t xml:space="preserve">De wijding tot </w:t>
      </w:r>
      <w:hyperlink r:id="rId16" w:tooltip="Bisschop" w:history="1">
        <w:r w:rsidRPr="00EC4A60">
          <w:rPr>
            <w:lang w:eastAsia="nl-BE"/>
          </w:rPr>
          <w:t>bisschop</w:t>
        </w:r>
      </w:hyperlink>
      <w:r w:rsidRPr="00EC4A60">
        <w:rPr>
          <w:lang w:eastAsia="nl-BE"/>
        </w:rPr>
        <w:t xml:space="preserve"> wordt gezien als de volheid van het </w:t>
      </w:r>
      <w:hyperlink r:id="rId17" w:tooltip="Priesterschap" w:history="1">
        <w:r w:rsidRPr="00EC4A60">
          <w:rPr>
            <w:lang w:eastAsia="nl-BE"/>
          </w:rPr>
          <w:t>priesterschap</w:t>
        </w:r>
      </w:hyperlink>
      <w:r w:rsidRPr="00EC4A60">
        <w:rPr>
          <w:lang w:eastAsia="nl-BE"/>
        </w:rPr>
        <w:t xml:space="preserve">, en dus ingedeeld onder de noemer </w:t>
      </w:r>
      <w:hyperlink r:id="rId18" w:tooltip="Priester" w:history="1">
        <w:r w:rsidRPr="00EC4A60">
          <w:rPr>
            <w:lang w:eastAsia="nl-BE"/>
          </w:rPr>
          <w:t>priester</w:t>
        </w:r>
      </w:hyperlink>
      <w:r w:rsidRPr="00EC4A60">
        <w:rPr>
          <w:lang w:eastAsia="nl-BE"/>
        </w:rPr>
        <w:t xml:space="preserve">. Soms wordt de bisschopswijding apart genoemd, en dan zijn er acht wijdingsgraden. In de </w:t>
      </w:r>
      <w:hyperlink r:id="rId19" w:tooltip="Middeleeuwen" w:history="1">
        <w:r w:rsidRPr="00EC4A60">
          <w:rPr>
            <w:lang w:eastAsia="nl-BE"/>
          </w:rPr>
          <w:t>Middeleeuwen</w:t>
        </w:r>
      </w:hyperlink>
      <w:r w:rsidRPr="00EC4A60">
        <w:rPr>
          <w:lang w:eastAsia="nl-BE"/>
        </w:rPr>
        <w:t xml:space="preserve"> gold bovendien de </w:t>
      </w:r>
      <w:hyperlink r:id="rId20" w:tooltip="Tonsuur" w:history="1">
        <w:r w:rsidRPr="00EC4A60">
          <w:rPr>
            <w:lang w:eastAsia="nl-BE"/>
          </w:rPr>
          <w:t>tonsuur</w:t>
        </w:r>
      </w:hyperlink>
      <w:r w:rsidRPr="00EC4A60">
        <w:rPr>
          <w:lang w:eastAsia="nl-BE"/>
        </w:rPr>
        <w:t xml:space="preserve"> (</w:t>
      </w:r>
      <w:hyperlink r:id="rId21" w:tooltip="Kruinschering" w:history="1">
        <w:r w:rsidRPr="00EC4A60">
          <w:rPr>
            <w:lang w:eastAsia="nl-BE"/>
          </w:rPr>
          <w:t>kruinschering</w:t>
        </w:r>
      </w:hyperlink>
      <w:r w:rsidRPr="00EC4A60">
        <w:rPr>
          <w:lang w:eastAsia="nl-BE"/>
        </w:rPr>
        <w:t xml:space="preserve">) </w:t>
      </w:r>
      <w:r>
        <w:rPr>
          <w:lang w:eastAsia="nl-BE"/>
        </w:rPr>
        <w:t xml:space="preserve">ook </w:t>
      </w:r>
      <w:r w:rsidRPr="00EC4A60">
        <w:rPr>
          <w:lang w:eastAsia="nl-BE"/>
        </w:rPr>
        <w:t>als een lagere wijding, waardoor het totale aantal op negen wijdingsgraden kon komen.</w:t>
      </w:r>
    </w:p>
    <w:p w14:paraId="690EE031" w14:textId="77777777" w:rsidR="00FE5E53" w:rsidRDefault="00FE5E53" w:rsidP="00FE5E53">
      <w:pPr>
        <w:jc w:val="both"/>
        <w:rPr>
          <w:lang w:eastAsia="nl-BE"/>
        </w:rPr>
      </w:pPr>
    </w:p>
    <w:p w14:paraId="690EE032" w14:textId="77777777" w:rsidR="00FE5E53" w:rsidRDefault="00FE5E53" w:rsidP="00FE5E53">
      <w:pPr>
        <w:jc w:val="both"/>
        <w:rPr>
          <w:lang w:eastAsia="nl-BE"/>
        </w:rPr>
      </w:pPr>
      <w:r w:rsidRPr="00EC4A60">
        <w:rPr>
          <w:lang w:eastAsia="nl-BE"/>
        </w:rPr>
        <w:t xml:space="preserve">In het overgrote deel van de Katholieke Kerk zijn de vijf laagste wijdingsgraden (tot en met </w:t>
      </w:r>
      <w:proofErr w:type="spellStart"/>
      <w:r w:rsidRPr="00EC4A60">
        <w:rPr>
          <w:lang w:eastAsia="nl-BE"/>
        </w:rPr>
        <w:t>subdiaconaat</w:t>
      </w:r>
      <w:proofErr w:type="spellEnd"/>
      <w:r w:rsidRPr="00EC4A60">
        <w:rPr>
          <w:lang w:eastAsia="nl-BE"/>
        </w:rPr>
        <w:t xml:space="preserve">) sinds het </w:t>
      </w:r>
      <w:hyperlink r:id="rId22" w:tooltip="Motu proprio" w:history="1">
        <w:proofErr w:type="spellStart"/>
        <w:r w:rsidRPr="00EC4A60">
          <w:rPr>
            <w:lang w:eastAsia="nl-BE"/>
          </w:rPr>
          <w:t>motu</w:t>
        </w:r>
        <w:proofErr w:type="spellEnd"/>
        <w:r w:rsidRPr="00EC4A60">
          <w:rPr>
            <w:lang w:eastAsia="nl-BE"/>
          </w:rPr>
          <w:t xml:space="preserve"> </w:t>
        </w:r>
        <w:proofErr w:type="spellStart"/>
        <w:r w:rsidRPr="00EC4A60">
          <w:rPr>
            <w:lang w:eastAsia="nl-BE"/>
          </w:rPr>
          <w:t>proprio</w:t>
        </w:r>
        <w:proofErr w:type="spellEnd"/>
      </w:hyperlink>
      <w:r w:rsidRPr="00EC4A60">
        <w:rPr>
          <w:lang w:eastAsia="nl-BE"/>
        </w:rPr>
        <w:t xml:space="preserve"> </w:t>
      </w:r>
      <w:hyperlink r:id="rId23" w:tooltip="Ministeria quaedam (de pagina bestaat niet)" w:history="1">
        <w:proofErr w:type="spellStart"/>
        <w:r w:rsidRPr="00EC4A60">
          <w:rPr>
            <w:i/>
            <w:iCs/>
            <w:lang w:eastAsia="nl-BE"/>
          </w:rPr>
          <w:t>Ministeria</w:t>
        </w:r>
        <w:proofErr w:type="spellEnd"/>
        <w:r w:rsidRPr="00EC4A60">
          <w:rPr>
            <w:i/>
            <w:iCs/>
            <w:lang w:eastAsia="nl-BE"/>
          </w:rPr>
          <w:t xml:space="preserve"> </w:t>
        </w:r>
        <w:proofErr w:type="spellStart"/>
        <w:r w:rsidRPr="00EC4A60">
          <w:rPr>
            <w:i/>
            <w:iCs/>
            <w:lang w:eastAsia="nl-BE"/>
          </w:rPr>
          <w:t>quaedam</w:t>
        </w:r>
        <w:proofErr w:type="spellEnd"/>
      </w:hyperlink>
      <w:r w:rsidRPr="00EC4A60">
        <w:rPr>
          <w:lang w:eastAsia="nl-BE"/>
        </w:rPr>
        <w:t xml:space="preserve"> van </w:t>
      </w:r>
      <w:hyperlink r:id="rId24" w:tooltip="Paus Paulus VI" w:history="1">
        <w:r w:rsidRPr="00EC4A60">
          <w:rPr>
            <w:lang w:eastAsia="nl-BE"/>
          </w:rPr>
          <w:t>Paus Paulus VI</w:t>
        </w:r>
      </w:hyperlink>
      <w:r w:rsidRPr="00EC4A60">
        <w:rPr>
          <w:lang w:eastAsia="nl-BE"/>
        </w:rPr>
        <w:t xml:space="preserve"> op </w:t>
      </w:r>
      <w:hyperlink r:id="rId25" w:tooltip="1 januari" w:history="1">
        <w:r w:rsidRPr="00EC4A60">
          <w:rPr>
            <w:lang w:eastAsia="nl-BE"/>
          </w:rPr>
          <w:t>1 januari</w:t>
        </w:r>
      </w:hyperlink>
      <w:r w:rsidRPr="00EC4A60">
        <w:rPr>
          <w:lang w:eastAsia="nl-BE"/>
        </w:rPr>
        <w:t xml:space="preserve"> </w:t>
      </w:r>
      <w:hyperlink r:id="rId26" w:tooltip="1973" w:history="1">
        <w:r w:rsidRPr="00EC4A60">
          <w:rPr>
            <w:lang w:eastAsia="nl-BE"/>
          </w:rPr>
          <w:t>1973</w:t>
        </w:r>
      </w:hyperlink>
      <w:r w:rsidRPr="00EC4A60">
        <w:rPr>
          <w:lang w:eastAsia="nl-BE"/>
        </w:rPr>
        <w:t xml:space="preserve"> achterwege gelaten. De wijdingen van lector en acoliet werden vervangen door de ‘aanstelling’. In plaats van het </w:t>
      </w:r>
      <w:proofErr w:type="spellStart"/>
      <w:r w:rsidRPr="00EC4A60">
        <w:rPr>
          <w:lang w:eastAsia="nl-BE"/>
        </w:rPr>
        <w:t>subdiaconaat</w:t>
      </w:r>
      <w:proofErr w:type="spellEnd"/>
      <w:r w:rsidRPr="00EC4A60">
        <w:rPr>
          <w:lang w:eastAsia="nl-BE"/>
        </w:rPr>
        <w:t xml:space="preserve">, waarmee de wijdeling de verplichting tot het </w:t>
      </w:r>
      <w:hyperlink r:id="rId27" w:tooltip="Celibaat" w:history="1">
        <w:r w:rsidRPr="00EC4A60">
          <w:rPr>
            <w:lang w:eastAsia="nl-BE"/>
          </w:rPr>
          <w:t>celibaat</w:t>
        </w:r>
      </w:hyperlink>
      <w:r w:rsidRPr="00EC4A60">
        <w:rPr>
          <w:lang w:eastAsia="nl-BE"/>
        </w:rPr>
        <w:t xml:space="preserve"> en tot het </w:t>
      </w:r>
      <w:hyperlink r:id="rId28" w:tooltip="Brevier" w:history="1">
        <w:r w:rsidRPr="00EC4A60">
          <w:rPr>
            <w:lang w:eastAsia="nl-BE"/>
          </w:rPr>
          <w:t>brevier</w:t>
        </w:r>
      </w:hyperlink>
      <w:r w:rsidRPr="00EC4A60">
        <w:rPr>
          <w:lang w:eastAsia="nl-BE"/>
        </w:rPr>
        <w:t xml:space="preserve"> aanging, kwam een extra gelofte van zuiverheid bij het ontvangen </w:t>
      </w:r>
      <w:r>
        <w:rPr>
          <w:lang w:eastAsia="nl-BE"/>
        </w:rPr>
        <w:t>van de wijding tot diaken.</w:t>
      </w:r>
    </w:p>
    <w:p w14:paraId="690EE033" w14:textId="77777777" w:rsidR="00FE5E53" w:rsidRDefault="00FE5E53" w:rsidP="00FE5E53">
      <w:pPr>
        <w:jc w:val="both"/>
        <w:rPr>
          <w:lang w:eastAsia="nl-BE"/>
        </w:rPr>
      </w:pPr>
    </w:p>
    <w:p w14:paraId="690EE034" w14:textId="365028AF" w:rsidR="00FE5E53" w:rsidRDefault="00FE5E53" w:rsidP="00FE5E53">
      <w:pPr>
        <w:jc w:val="both"/>
        <w:rPr>
          <w:lang w:eastAsia="nl-BE"/>
        </w:rPr>
      </w:pPr>
      <w:r>
        <w:rPr>
          <w:lang w:eastAsia="nl-BE"/>
        </w:rPr>
        <w:t>Voor de gelegenheid laten we de wijding tot priester even buiten beschouwing. En met de wijding tot subdiaken moeten we verder geen rekening houden, want die bestaat op vandaag eigenlijk niet meer. Dus blijven er vijf wijdingen over, vier ‘kleine’ en één ‘grote’(deze van diaken), die we nu één voor één wat van dichterbij willen beschouwen en ‘actualiseren’.</w:t>
      </w:r>
    </w:p>
    <w:p w14:paraId="690EE035" w14:textId="77777777" w:rsidR="00FE5E53" w:rsidRDefault="00FE5E53" w:rsidP="00FE5E53">
      <w:pPr>
        <w:jc w:val="both"/>
        <w:rPr>
          <w:lang w:eastAsia="nl-BE"/>
        </w:rPr>
      </w:pPr>
    </w:p>
    <w:p w14:paraId="690EE036" w14:textId="77777777" w:rsidR="00FE5E53" w:rsidRPr="000B2752" w:rsidRDefault="00FE5E53" w:rsidP="00FE5E53">
      <w:pPr>
        <w:shd w:val="clear" w:color="auto" w:fill="FFFFFF"/>
        <w:jc w:val="both"/>
        <w:rPr>
          <w:b/>
          <w:sz w:val="28"/>
          <w:szCs w:val="28"/>
        </w:rPr>
      </w:pPr>
      <w:r w:rsidRPr="000B2752">
        <w:rPr>
          <w:b/>
          <w:sz w:val="28"/>
          <w:szCs w:val="28"/>
        </w:rPr>
        <w:t>De wijding tot Portier (deurbewaarder of deurwachter)</w:t>
      </w:r>
    </w:p>
    <w:p w14:paraId="690EE037" w14:textId="77777777" w:rsidR="00FE5E53" w:rsidRDefault="00FE5E53" w:rsidP="00FE5E53">
      <w:pPr>
        <w:shd w:val="clear" w:color="auto" w:fill="FFFFFF"/>
        <w:jc w:val="both"/>
        <w:rPr>
          <w:color w:val="000000"/>
          <w:lang w:eastAsia="nl-BE"/>
        </w:rPr>
      </w:pPr>
    </w:p>
    <w:p w14:paraId="690EE038" w14:textId="77777777" w:rsidR="00FE5E53" w:rsidRDefault="00FE5E53" w:rsidP="00FE5E53">
      <w:pPr>
        <w:shd w:val="clear" w:color="auto" w:fill="FFFFFF"/>
        <w:jc w:val="both"/>
        <w:rPr>
          <w:color w:val="000000"/>
          <w:lang w:eastAsia="nl-BE"/>
        </w:rPr>
      </w:pPr>
      <w:r>
        <w:rPr>
          <w:color w:val="000000"/>
          <w:lang w:eastAsia="nl-BE"/>
        </w:rPr>
        <w:t>De portier is degene die in de ‘stad van de mensen’ moet aanbellen aan deuren vol onverschilligheid, egoïsme en eigenbelang. Hij is het die belletje-trek moet gaan doen om mensen op te roepen tot gemeenschap. Hij moet de harten van de gelovigen voor God openen (zo zegt het de wijdingsvermaning) en de mensen oproepen om in gemeenschap, Gods heilsgeschiedenis (mee) te maken. Hij is het die de klokken moet luiden,</w:t>
      </w:r>
      <w:r w:rsidRPr="007219C7">
        <w:rPr>
          <w:color w:val="000000"/>
          <w:lang w:eastAsia="nl-BE"/>
        </w:rPr>
        <w:t xml:space="preserve"> </w:t>
      </w:r>
      <w:r>
        <w:rPr>
          <w:color w:val="000000"/>
          <w:lang w:eastAsia="nl-BE"/>
        </w:rPr>
        <w:t>die bij tijd en wijle alarm moet slaan en de kat de bel moet aanbinden, wanneer er zaken mislopen in de wereld om ons heen. Hij moet er ook voor zorgen dat de deuren van de kerkgemeenschap wijd open worden gemaakt voor iedereen, zonder onderscheid. Het ritueel dat vanouds bij deze kleine wijding hoort, van het openen van de kerkdeur en het luiden van de klokken, spreekt daarbij voor zichzelf.</w:t>
      </w:r>
    </w:p>
    <w:p w14:paraId="690EE039" w14:textId="77777777" w:rsidR="00FE5E53" w:rsidRDefault="00FE5E53" w:rsidP="00FE5E53">
      <w:pPr>
        <w:shd w:val="clear" w:color="auto" w:fill="FFFFFF"/>
        <w:jc w:val="both"/>
        <w:rPr>
          <w:color w:val="000000"/>
          <w:lang w:eastAsia="nl-BE"/>
        </w:rPr>
      </w:pPr>
      <w:r>
        <w:rPr>
          <w:color w:val="000000"/>
          <w:lang w:eastAsia="nl-BE"/>
        </w:rPr>
        <w:t xml:space="preserve">De kerkgemeenschap heeft deze taak en wijding altijd als zeer belangrijk aanzien. Het was weliswaar een ‘lagere’ wijding, maar men kon toch geen priester worden zonder die </w:t>
      </w:r>
      <w:r>
        <w:rPr>
          <w:color w:val="000000"/>
          <w:lang w:eastAsia="nl-BE"/>
        </w:rPr>
        <w:lastRenderedPageBreak/>
        <w:t>voorbereiding en opgedane ervaring van oproeper en portier. Het was de eerste stap naar het diaconaat en het priesterschap. Hoe kan men een gemeenschap voorgaan als men niet eerst en vooral zelf tot gemeenschap oproept. Dat heeft de Kerk zeer duidelijk gezien in haar zogenaamde ‘kleine’ wijdingen.</w:t>
      </w:r>
    </w:p>
    <w:p w14:paraId="690EE03A" w14:textId="77777777" w:rsidR="00FE5E53" w:rsidRDefault="00FE5E53" w:rsidP="00FE5E53">
      <w:pPr>
        <w:shd w:val="clear" w:color="auto" w:fill="FFFFFF"/>
        <w:jc w:val="both"/>
        <w:rPr>
          <w:color w:val="000000"/>
          <w:lang w:eastAsia="nl-BE"/>
        </w:rPr>
      </w:pPr>
      <w:r>
        <w:rPr>
          <w:color w:val="000000"/>
          <w:lang w:eastAsia="nl-BE"/>
        </w:rPr>
        <w:t xml:space="preserve">Spijtig genoeg  werd de diepe betekenis van dit alles al snel alleen maar toegepast op het kerkgebouw zelf, en niet op een persoon of een ‘gewijde bedienaar’ – en jammer genoeg ook niet op élk lid van de kerkgemeenschap, gewijd of niet gewijd… </w:t>
      </w:r>
    </w:p>
    <w:p w14:paraId="690EE03B" w14:textId="77777777" w:rsidR="00FE5E53" w:rsidRDefault="00FE5E53" w:rsidP="00FE5E53">
      <w:pPr>
        <w:tabs>
          <w:tab w:val="left" w:pos="600"/>
        </w:tabs>
        <w:jc w:val="both"/>
      </w:pPr>
    </w:p>
    <w:p w14:paraId="690EE03C" w14:textId="77777777" w:rsidR="00FE5E53" w:rsidRPr="000B2752" w:rsidRDefault="00FE5E53" w:rsidP="00FE5E53">
      <w:pPr>
        <w:tabs>
          <w:tab w:val="left" w:pos="600"/>
        </w:tabs>
        <w:jc w:val="both"/>
        <w:rPr>
          <w:b/>
          <w:noProof/>
          <w:sz w:val="28"/>
          <w:szCs w:val="28"/>
          <w:lang w:eastAsia="nl-BE"/>
        </w:rPr>
      </w:pPr>
      <w:r w:rsidRPr="000B2752">
        <w:rPr>
          <w:b/>
          <w:noProof/>
          <w:sz w:val="28"/>
          <w:szCs w:val="28"/>
          <w:lang w:eastAsia="nl-BE"/>
        </w:rPr>
        <w:t>De wijding tot Lector (lezer, duider)</w:t>
      </w:r>
    </w:p>
    <w:p w14:paraId="690EE03D" w14:textId="77777777" w:rsidR="00FE5E53" w:rsidRDefault="00FE5E53" w:rsidP="00FE5E53">
      <w:pPr>
        <w:tabs>
          <w:tab w:val="left" w:pos="600"/>
        </w:tabs>
        <w:jc w:val="both"/>
        <w:rPr>
          <w:noProof/>
          <w:lang w:eastAsia="nl-BE"/>
        </w:rPr>
      </w:pPr>
    </w:p>
    <w:p w14:paraId="690EE03E" w14:textId="77777777" w:rsidR="00FE5E53" w:rsidRDefault="00FE5E53" w:rsidP="00FE5E53">
      <w:pPr>
        <w:jc w:val="both"/>
      </w:pPr>
      <w:r w:rsidRPr="00F21ACA">
        <w:t>De wijding tot lector geeft aan de wijdeling de opdracht zich te verdiepen in de twee grote boeken die er écht toe doen voor een christen: het Boek</w:t>
      </w:r>
      <w:r>
        <w:t xml:space="preserve"> van het geleefde leven, en het Boek van de S</w:t>
      </w:r>
      <w:r w:rsidRPr="00F21ACA">
        <w:t>chrift.</w:t>
      </w:r>
      <w:r>
        <w:t xml:space="preserve"> </w:t>
      </w:r>
    </w:p>
    <w:p w14:paraId="690EE03F" w14:textId="77777777" w:rsidR="00FE5E53" w:rsidRDefault="00FE5E53" w:rsidP="00FE5E53">
      <w:pPr>
        <w:jc w:val="both"/>
      </w:pPr>
    </w:p>
    <w:p w14:paraId="690EE040" w14:textId="77777777" w:rsidR="00FE5E53" w:rsidRDefault="00FE5E53" w:rsidP="00FE5E53">
      <w:pPr>
        <w:jc w:val="both"/>
      </w:pPr>
      <w:r>
        <w:t>Een lector mag</w:t>
      </w:r>
      <w:r w:rsidRPr="00F21ACA">
        <w:t xml:space="preserve"> het echte diepe leven ‘duiden’ middenin het gewone leven. Vertaler-tolk spelen, van het leven naar de Schr</w:t>
      </w:r>
      <w:r>
        <w:t>ift, en dan weer omgekeerd: de S</w:t>
      </w:r>
      <w:r w:rsidRPr="00F21ACA">
        <w:t>chrift brengen tot bij het l</w:t>
      </w:r>
      <w:r>
        <w:t>even van de mensen. Hij moe</w:t>
      </w:r>
      <w:r w:rsidRPr="00F21ACA">
        <w:t>t de mensen helpen ontdekken waar hun eigen verhaal aan dat van Abraham en Mozes, aan dat van Jezus raakt.</w:t>
      </w:r>
      <w:r>
        <w:t xml:space="preserve"> </w:t>
      </w:r>
      <w:r w:rsidRPr="00F21ACA">
        <w:t>De juiste vragen leren stellen, en aantonen dat er mogelijke oplossingen zijn middenin de problemen, en dat er alternatieven zijn voor de onvrijheid en onmenselijkheid waarin heel wat mensen zich bevinden.</w:t>
      </w:r>
      <w:r w:rsidRPr="00E22B47">
        <w:t xml:space="preserve"> </w:t>
      </w:r>
    </w:p>
    <w:p w14:paraId="690EE041" w14:textId="77777777" w:rsidR="00FE5E53" w:rsidRDefault="00FE5E53" w:rsidP="00FE5E53">
      <w:pPr>
        <w:jc w:val="both"/>
      </w:pPr>
    </w:p>
    <w:p w14:paraId="690EE042" w14:textId="77777777" w:rsidR="00FE5E53" w:rsidRPr="00F21ACA" w:rsidRDefault="00FE5E53" w:rsidP="00FE5E53">
      <w:pPr>
        <w:jc w:val="both"/>
      </w:pPr>
      <w:r w:rsidRPr="00F21ACA">
        <w:t>Lectoren/l</w:t>
      </w:r>
      <w:r>
        <w:t xml:space="preserve">ezers zijn in feite kaartlezers, </w:t>
      </w:r>
      <w:r w:rsidRPr="00F21ACA">
        <w:t>duider</w:t>
      </w:r>
      <w:r>
        <w:t>s</w:t>
      </w:r>
      <w:r w:rsidRPr="00F21ACA">
        <w:t xml:space="preserve"> van de weg ten leven</w:t>
      </w:r>
      <w:r>
        <w:t>.</w:t>
      </w:r>
      <w:r w:rsidRPr="00F21ACA">
        <w:t xml:space="preserve"> </w:t>
      </w:r>
      <w:r>
        <w:t xml:space="preserve">Zij mogen </w:t>
      </w:r>
      <w:r w:rsidRPr="00F21ACA">
        <w:t>Gods Woord lezen en duiden middenin de problemen en vragen van alledag, en van de kleine mensen.</w:t>
      </w:r>
      <w:r>
        <w:t xml:space="preserve"> </w:t>
      </w:r>
      <w:r w:rsidRPr="00F21ACA">
        <w:t>Ze proberen aan mensen de juiste richting te wijzen in het leven</w:t>
      </w:r>
      <w:r>
        <w:t>. Versta je wat je leest in de S</w:t>
      </w:r>
      <w:r w:rsidRPr="00F21ACA">
        <w:t>chrift? Hoe lees je dat? En welke conclusies trek je daar uit voor jezelf en voor je christen-zijn? En je eigen levensverhaal – hoe lees je dat? Ontdek je daar op de duur een plan in, een bedoeling, een ‘roeping’? Haal je uit die twee boeken die er toe doen – het boek van het Leven en het Boek van de Schrift iets van ‘</w:t>
      </w:r>
      <w:proofErr w:type="spellStart"/>
      <w:r w:rsidRPr="00F21ACA">
        <w:t>Tora</w:t>
      </w:r>
      <w:proofErr w:type="spellEnd"/>
      <w:r w:rsidRPr="00F21ACA">
        <w:t xml:space="preserve">’, een wegwijzer-ten-leven? </w:t>
      </w:r>
    </w:p>
    <w:p w14:paraId="690EE043" w14:textId="77777777" w:rsidR="00FE5E53" w:rsidRDefault="00FE5E53" w:rsidP="00FE5E53">
      <w:pPr>
        <w:jc w:val="both"/>
      </w:pPr>
    </w:p>
    <w:p w14:paraId="690EE044" w14:textId="77777777" w:rsidR="00FE5E53" w:rsidRDefault="00FE5E53" w:rsidP="00FE5E53">
      <w:pPr>
        <w:jc w:val="both"/>
      </w:pPr>
      <w:r>
        <w:t xml:space="preserve">De </w:t>
      </w:r>
      <w:proofErr w:type="spellStart"/>
      <w:r>
        <w:t>bezinn</w:t>
      </w:r>
      <w:r w:rsidRPr="00F21ACA">
        <w:t>ingen</w:t>
      </w:r>
      <w:proofErr w:type="spellEnd"/>
      <w:r w:rsidRPr="00F21ACA">
        <w:t xml:space="preserve"> en preken </w:t>
      </w:r>
      <w:r>
        <w:t xml:space="preserve">van een goeie lector/lezer </w:t>
      </w:r>
      <w:r w:rsidRPr="00F21ACA">
        <w:t xml:space="preserve">gaan </w:t>
      </w:r>
      <w:r>
        <w:t xml:space="preserve">dan ook </w:t>
      </w:r>
      <w:r w:rsidRPr="00F21ACA">
        <w:t>voortdurend ove</w:t>
      </w:r>
      <w:r>
        <w:t>r wat gebeurt in de wereld en de maatschappij</w:t>
      </w:r>
      <w:r w:rsidRPr="00F21ACA">
        <w:t xml:space="preserve">: politiek, sociaal, </w:t>
      </w:r>
      <w:r>
        <w:t>economisch, financieel, in de familie, de buurt, op het werk en in de school. Het is daar dat de H</w:t>
      </w:r>
      <w:r w:rsidRPr="00F21ACA">
        <w:t>eer ons roept en zendt. Daar verschijnt Hij steeds op ee</w:t>
      </w:r>
      <w:r>
        <w:t xml:space="preserve">n nieuwe en actuele wijze. De beschouwingen die een lector aan zijn toehoorders voorlegt en ‘voorleest’ gaan altijd maar in tweede instantie over de theologie, over de Kerk, de liturgie en de sacramenten. In eerste instantie gaat het over de ‘tekenen des tijds’ en over de realiteit van vandaag. Want in die (moeilijke? ongelovige? geloofsvijandige..?) realiteit bevinden wij ons altijd weer als Kerk: </w:t>
      </w:r>
      <w:r w:rsidRPr="00F21ACA">
        <w:t xml:space="preserve">als Exodusgemeente, als ballingschapsgemeente, als </w:t>
      </w:r>
      <w:proofErr w:type="spellStart"/>
      <w:r w:rsidRPr="00F21ACA">
        <w:t>Abrahamitische</w:t>
      </w:r>
      <w:proofErr w:type="spellEnd"/>
      <w:r w:rsidRPr="00F21ACA">
        <w:t xml:space="preserve"> minderheid, als kleine r</w:t>
      </w:r>
      <w:r>
        <w:t>est, als gist in het deeg.</w:t>
      </w:r>
    </w:p>
    <w:p w14:paraId="690EE045" w14:textId="77777777" w:rsidR="00FE5E53" w:rsidRDefault="00FE5E53" w:rsidP="00FE5E53">
      <w:pPr>
        <w:jc w:val="both"/>
      </w:pPr>
    </w:p>
    <w:p w14:paraId="690EE046" w14:textId="77777777" w:rsidR="00FE5E53" w:rsidRPr="00F21ACA" w:rsidRDefault="00FE5E53" w:rsidP="00FE5E53">
      <w:pPr>
        <w:jc w:val="both"/>
      </w:pPr>
      <w:r w:rsidRPr="00F21ACA">
        <w:t xml:space="preserve">Mensen die het leven hebben leren lezen vanuit het Leven, verstaan veel beter wat er in de </w:t>
      </w:r>
      <w:r>
        <w:t>Bijbel, het Grote Boek van het Leven, te lezen valt. Het B</w:t>
      </w:r>
      <w:r w:rsidRPr="00F21ACA">
        <w:t xml:space="preserve">oek der boeken staat trouwens vol met levensverhalen van samenkomende mensen op zoek naar bevrijding </w:t>
      </w:r>
      <w:r>
        <w:t xml:space="preserve">en menswaardigheid. </w:t>
      </w:r>
    </w:p>
    <w:p w14:paraId="690EE047" w14:textId="77777777" w:rsidR="00FE5E53" w:rsidRDefault="00FE5E53" w:rsidP="00FE5E53">
      <w:pPr>
        <w:jc w:val="both"/>
      </w:pPr>
    </w:p>
    <w:p w14:paraId="690EE048" w14:textId="77777777" w:rsidR="00FE5E53" w:rsidRPr="00F21ACA" w:rsidRDefault="00FE5E53" w:rsidP="00FE5E53">
      <w:pPr>
        <w:jc w:val="both"/>
      </w:pPr>
      <w:r>
        <w:t>De wijding tot lector of lezer</w:t>
      </w:r>
      <w:r w:rsidRPr="005150F4">
        <w:t xml:space="preserve"> </w:t>
      </w:r>
      <w:r>
        <w:t xml:space="preserve">is </w:t>
      </w:r>
      <w:r w:rsidRPr="00F21ACA">
        <w:t xml:space="preserve">ongetwijfeld een belangrijke stap naar het </w:t>
      </w:r>
      <w:r>
        <w:t xml:space="preserve">diaken-zijn en naar het </w:t>
      </w:r>
      <w:r w:rsidRPr="00F21ACA">
        <w:t xml:space="preserve">priesterschap. Zo ook heeft de Kerk het altijd gezien in haar </w:t>
      </w:r>
      <w:r>
        <w:t>reeks van ‘kleine wijdingen’</w:t>
      </w:r>
      <w:r w:rsidRPr="00F21ACA">
        <w:t>.</w:t>
      </w:r>
    </w:p>
    <w:p w14:paraId="690EE049" w14:textId="77777777" w:rsidR="00FE5E53" w:rsidRPr="00F21ACA" w:rsidRDefault="00FE5E53" w:rsidP="00FE5E53">
      <w:pPr>
        <w:jc w:val="both"/>
      </w:pPr>
    </w:p>
    <w:p w14:paraId="690EE04A" w14:textId="77777777" w:rsidR="00FE5E53" w:rsidRDefault="00FE5E53" w:rsidP="00FE5E53">
      <w:pPr>
        <w:tabs>
          <w:tab w:val="left" w:pos="600"/>
        </w:tabs>
        <w:jc w:val="both"/>
        <w:rPr>
          <w:b/>
          <w:bCs/>
          <w:sz w:val="32"/>
          <w:szCs w:val="32"/>
          <w:lang w:val="nl-BE"/>
        </w:rPr>
      </w:pPr>
    </w:p>
    <w:p w14:paraId="690EE04B" w14:textId="77777777" w:rsidR="00FE5E53" w:rsidRPr="007414DD" w:rsidRDefault="00FE5E53" w:rsidP="00FE5E53">
      <w:pPr>
        <w:tabs>
          <w:tab w:val="left" w:pos="600"/>
        </w:tabs>
        <w:jc w:val="both"/>
        <w:rPr>
          <w:b/>
          <w:bCs/>
          <w:sz w:val="32"/>
          <w:szCs w:val="32"/>
          <w:lang w:val="nl-BE"/>
        </w:rPr>
      </w:pPr>
      <w:r w:rsidRPr="007414DD">
        <w:rPr>
          <w:b/>
          <w:bCs/>
          <w:sz w:val="32"/>
          <w:szCs w:val="32"/>
          <w:lang w:val="nl-BE"/>
        </w:rPr>
        <w:t>De wijding tot Exorcist (duivelbezweerder)</w:t>
      </w:r>
    </w:p>
    <w:p w14:paraId="690EE04C" w14:textId="77777777" w:rsidR="00FE5E53" w:rsidRDefault="00FE5E53" w:rsidP="00FE5E53">
      <w:pPr>
        <w:tabs>
          <w:tab w:val="left" w:pos="600"/>
        </w:tabs>
        <w:jc w:val="both"/>
        <w:rPr>
          <w:bCs/>
          <w:lang w:val="nl-BE"/>
        </w:rPr>
      </w:pPr>
    </w:p>
    <w:p w14:paraId="690EE04D" w14:textId="77777777" w:rsidR="00FE5E53" w:rsidRDefault="00FE5E53" w:rsidP="00FE5E53">
      <w:pPr>
        <w:jc w:val="both"/>
      </w:pPr>
      <w:r>
        <w:lastRenderedPageBreak/>
        <w:t>Een belangrijke stap naar de wijding tot diaken en priester is ongetwijfeld de wijding tot duivelbezweerder. Men moet eerst die ervaring opdoen, vooraleer men écht de ‘grotere wijdingen’ kan ontvangen; Ook hiervoor bestaat vanouds een ritueel in de Kerk: de wijding tot duivelbezweerder of exorcist.</w:t>
      </w:r>
    </w:p>
    <w:p w14:paraId="690EE04E" w14:textId="77777777" w:rsidR="00FE5E53" w:rsidRDefault="00FE5E53" w:rsidP="00FE5E53">
      <w:pPr>
        <w:jc w:val="both"/>
      </w:pPr>
    </w:p>
    <w:p w14:paraId="690EE04F" w14:textId="77777777" w:rsidR="00FE5E53" w:rsidRDefault="00FE5E53" w:rsidP="00FE5E53">
      <w:pPr>
        <w:jc w:val="both"/>
      </w:pPr>
      <w:r>
        <w:t xml:space="preserve">Aan </w:t>
      </w:r>
      <w:proofErr w:type="spellStart"/>
      <w:r>
        <w:t>duivelbezwering</w:t>
      </w:r>
      <w:proofErr w:type="spellEnd"/>
      <w:r>
        <w:t xml:space="preserve"> doen is: </w:t>
      </w:r>
    </w:p>
    <w:p w14:paraId="690EE050" w14:textId="77777777" w:rsidR="00FE5E53" w:rsidRDefault="00FE5E53" w:rsidP="00FE5E53">
      <w:pPr>
        <w:jc w:val="both"/>
      </w:pPr>
    </w:p>
    <w:p w14:paraId="690EE051" w14:textId="77777777" w:rsidR="00FE5E53" w:rsidRDefault="00FE5E53" w:rsidP="00FE5E53">
      <w:pPr>
        <w:jc w:val="both"/>
      </w:pPr>
      <w:r>
        <w:t xml:space="preserve">mensen bevrijden van angst en eenzaamheid, </w:t>
      </w:r>
    </w:p>
    <w:p w14:paraId="690EE052" w14:textId="77777777" w:rsidR="00FE5E53" w:rsidRDefault="00FE5E53" w:rsidP="00FE5E53">
      <w:pPr>
        <w:jc w:val="both"/>
      </w:pPr>
      <w:r>
        <w:t>van verbittering en ontgoocheling,</w:t>
      </w:r>
    </w:p>
    <w:p w14:paraId="690EE053" w14:textId="77777777" w:rsidR="00FE5E53" w:rsidRDefault="00FE5E53" w:rsidP="00FE5E53">
      <w:pPr>
        <w:jc w:val="both"/>
      </w:pPr>
      <w:r>
        <w:t>van hardheid en meedogenloosheid.</w:t>
      </w:r>
    </w:p>
    <w:p w14:paraId="690EE054" w14:textId="77777777" w:rsidR="00FE5E53" w:rsidRDefault="00FE5E53" w:rsidP="00FE5E53">
      <w:pPr>
        <w:jc w:val="both"/>
      </w:pPr>
    </w:p>
    <w:p w14:paraId="690EE055" w14:textId="77777777" w:rsidR="00FE5E53" w:rsidRDefault="00FE5E53" w:rsidP="00FE5E53">
      <w:pPr>
        <w:jc w:val="both"/>
      </w:pPr>
      <w:r>
        <w:t>Het verlangen in mensen herstellen om een vrij mens te worden.</w:t>
      </w:r>
      <w:r w:rsidRPr="005150F4">
        <w:t xml:space="preserve"> </w:t>
      </w:r>
    </w:p>
    <w:p w14:paraId="690EE056" w14:textId="77777777" w:rsidR="00FE5E53" w:rsidRDefault="00FE5E53" w:rsidP="00FE5E53">
      <w:pPr>
        <w:jc w:val="both"/>
      </w:pPr>
      <w:r>
        <w:t>Vrijheid scheppen om anderen vrij te laten.</w:t>
      </w:r>
    </w:p>
    <w:p w14:paraId="690EE057" w14:textId="77777777" w:rsidR="00FE5E53" w:rsidRDefault="00FE5E53" w:rsidP="00FE5E53">
      <w:pPr>
        <w:jc w:val="both"/>
      </w:pPr>
      <w:r>
        <w:t>Mensen vrij maken van boeien die hen knechten,</w:t>
      </w:r>
    </w:p>
    <w:p w14:paraId="690EE058" w14:textId="77777777" w:rsidR="00FE5E53" w:rsidRDefault="00FE5E53" w:rsidP="00FE5E53">
      <w:pPr>
        <w:jc w:val="both"/>
      </w:pPr>
      <w:r>
        <w:t>van ketenen die hen gevangen houden.</w:t>
      </w:r>
    </w:p>
    <w:p w14:paraId="690EE059" w14:textId="77777777" w:rsidR="00FE5E53" w:rsidRDefault="00FE5E53" w:rsidP="00FE5E53">
      <w:pPr>
        <w:jc w:val="both"/>
      </w:pPr>
    </w:p>
    <w:p w14:paraId="690EE05A" w14:textId="77777777" w:rsidR="00FE5E53" w:rsidRDefault="00FE5E53" w:rsidP="00FE5E53">
      <w:pPr>
        <w:jc w:val="both"/>
      </w:pPr>
      <w:r>
        <w:t>Onvrijheid overwinnen, vrijheid laten ontplooien</w:t>
      </w:r>
    </w:p>
    <w:p w14:paraId="690EE05B" w14:textId="77777777" w:rsidR="00FE5E53" w:rsidRDefault="00FE5E53" w:rsidP="00FE5E53">
      <w:pPr>
        <w:jc w:val="both"/>
      </w:pPr>
      <w:r>
        <w:t>en in vrijheid mensen hun eigen weg laten gaan.</w:t>
      </w:r>
    </w:p>
    <w:p w14:paraId="690EE05C" w14:textId="77777777" w:rsidR="00FE5E53" w:rsidRDefault="00FE5E53" w:rsidP="00FE5E53">
      <w:pPr>
        <w:jc w:val="both"/>
      </w:pPr>
    </w:p>
    <w:p w14:paraId="690EE05D" w14:textId="77777777" w:rsidR="00FE5E53" w:rsidRDefault="00FE5E53" w:rsidP="00FE5E53">
      <w:pPr>
        <w:jc w:val="both"/>
      </w:pPr>
      <w:r>
        <w:t>Dat betekent ongetwijfeld ook een heel politiek, economisch, sociaal, cultureel en maatschappelijk programma, dat mensen vrijmaakt van ellende, onzekerheid, honger, onwetendheid, ziekte, armoede, verslaving…</w:t>
      </w:r>
    </w:p>
    <w:p w14:paraId="690EE05E" w14:textId="77777777" w:rsidR="00FE5E53" w:rsidRDefault="00FE5E53" w:rsidP="00FE5E53">
      <w:pPr>
        <w:jc w:val="both"/>
      </w:pPr>
    </w:p>
    <w:p w14:paraId="690EE05F" w14:textId="77777777" w:rsidR="00FE5E53" w:rsidRDefault="00FE5E53" w:rsidP="00FE5E53">
      <w:pPr>
        <w:jc w:val="both"/>
      </w:pPr>
      <w:r>
        <w:t xml:space="preserve">Dat betekent een voortdurend pogen om vrij te worden </w:t>
      </w:r>
    </w:p>
    <w:p w14:paraId="690EE060" w14:textId="77777777" w:rsidR="00FE5E53" w:rsidRDefault="00FE5E53" w:rsidP="00FE5E53">
      <w:pPr>
        <w:jc w:val="both"/>
      </w:pPr>
      <w:r>
        <w:t>van vooroordelen en taboes,</w:t>
      </w:r>
    </w:p>
    <w:p w14:paraId="690EE061" w14:textId="77777777" w:rsidR="00FE5E53" w:rsidRDefault="00FE5E53" w:rsidP="00FE5E53">
      <w:pPr>
        <w:jc w:val="both"/>
      </w:pPr>
      <w:r>
        <w:t xml:space="preserve">van leuzen en slogans, </w:t>
      </w:r>
    </w:p>
    <w:p w14:paraId="690EE062" w14:textId="77777777" w:rsidR="00FE5E53" w:rsidRDefault="00FE5E53" w:rsidP="00FE5E53">
      <w:pPr>
        <w:jc w:val="both"/>
      </w:pPr>
      <w:r>
        <w:t>van dogma’s en voorgekauwde waarheden,</w:t>
      </w:r>
    </w:p>
    <w:p w14:paraId="690EE063" w14:textId="77777777" w:rsidR="00FE5E53" w:rsidRDefault="00FE5E53" w:rsidP="00FE5E53">
      <w:pPr>
        <w:jc w:val="both"/>
      </w:pPr>
      <w:r>
        <w:t>van doemdenken en aangepraat schuldbesef,</w:t>
      </w:r>
    </w:p>
    <w:p w14:paraId="690EE064" w14:textId="77777777" w:rsidR="00FE5E53" w:rsidRDefault="00FE5E53" w:rsidP="00FE5E53">
      <w:pPr>
        <w:jc w:val="both"/>
      </w:pPr>
      <w:r>
        <w:t>van ondoordachte meningen en opvattingen,</w:t>
      </w:r>
    </w:p>
    <w:p w14:paraId="690EE065" w14:textId="77777777" w:rsidR="00FE5E53" w:rsidRDefault="00FE5E53" w:rsidP="00FE5E53">
      <w:pPr>
        <w:jc w:val="both"/>
      </w:pPr>
      <w:r>
        <w:t>van apathie of onverschilligheid,</w:t>
      </w:r>
    </w:p>
    <w:p w14:paraId="690EE066" w14:textId="77777777" w:rsidR="00FE5E53" w:rsidRDefault="00FE5E53" w:rsidP="00FE5E53">
      <w:pPr>
        <w:jc w:val="both"/>
      </w:pPr>
      <w:r>
        <w:t>van kluisters van opgelegde wetten, verplichtingen en ondragelijke lasten.</w:t>
      </w:r>
    </w:p>
    <w:p w14:paraId="690EE067" w14:textId="77777777" w:rsidR="00FE5E53" w:rsidRDefault="00FE5E53" w:rsidP="00FE5E53">
      <w:pPr>
        <w:jc w:val="both"/>
      </w:pPr>
    </w:p>
    <w:p w14:paraId="690EE068" w14:textId="77777777" w:rsidR="00FE5E53" w:rsidRDefault="00FE5E53" w:rsidP="00FE5E53">
      <w:pPr>
        <w:jc w:val="both"/>
      </w:pPr>
      <w:r>
        <w:t>Mensen die bezeten zijn door een boze geest of demon, worden door Jezus bevrijd. Hij geneest hen en maakt hen tot vrije mensen die zichzelf kunnen zijn, niet vervreemd van zichzelf en van hun eigenlijke bestemming als mens. Hij geeft ze hun vrijheid en menselijke waardigheid terug.</w:t>
      </w:r>
    </w:p>
    <w:p w14:paraId="690EE069" w14:textId="77777777" w:rsidR="00FE5E53" w:rsidRDefault="00FE5E53" w:rsidP="00FE5E53">
      <w:pPr>
        <w:jc w:val="both"/>
      </w:pPr>
    </w:p>
    <w:p w14:paraId="690EE06A" w14:textId="77777777" w:rsidR="00FE5E53" w:rsidRDefault="00FE5E53" w:rsidP="00FE5E53">
      <w:pPr>
        <w:jc w:val="both"/>
      </w:pPr>
      <w:r>
        <w:t>Deze opdracht, deze roeping is op vandaag in de Kerk en in de maatschappij uiterst belangrijk. Mensen die uit zichzelf ontzet zijn moeten weer aan zichzelf teruggegeven worden. Want vele mensen zijn al lang zichzelf niet meer. Of ze zijn het nog nooit geweest. Velen zijn zwaar beschadigd door het leven, velen zijn zichzelf niet (meer) meester. Zij zijn in bezit genomen door andere, door duivelse en diabolische machten en krachten. Ze zijn bezeten door demonen.</w:t>
      </w:r>
    </w:p>
    <w:p w14:paraId="690EE06B" w14:textId="77777777" w:rsidR="00FE5E53" w:rsidRDefault="00FE5E53" w:rsidP="00FE5E53">
      <w:pPr>
        <w:jc w:val="both"/>
      </w:pPr>
    </w:p>
    <w:p w14:paraId="690EE06C" w14:textId="7B7DB44E" w:rsidR="00FE5E53" w:rsidRPr="000B2752" w:rsidRDefault="00FE5E53" w:rsidP="00FE5E53">
      <w:pPr>
        <w:tabs>
          <w:tab w:val="left" w:pos="600"/>
        </w:tabs>
        <w:jc w:val="both"/>
        <w:rPr>
          <w:b/>
          <w:bCs/>
          <w:sz w:val="28"/>
          <w:szCs w:val="28"/>
          <w:lang w:val="nl-BE"/>
        </w:rPr>
      </w:pPr>
      <w:r w:rsidRPr="000B2752">
        <w:rPr>
          <w:b/>
          <w:bCs/>
          <w:sz w:val="28"/>
          <w:szCs w:val="28"/>
          <w:lang w:val="nl-BE"/>
        </w:rPr>
        <w:t xml:space="preserve">De wijding tot Acoliet </w:t>
      </w:r>
      <w:r w:rsidR="007E1A32">
        <w:rPr>
          <w:b/>
          <w:bCs/>
          <w:sz w:val="28"/>
          <w:szCs w:val="28"/>
          <w:lang w:val="nl-BE"/>
        </w:rPr>
        <w:t>(misdienaar)</w:t>
      </w:r>
    </w:p>
    <w:p w14:paraId="690EE06D" w14:textId="77777777" w:rsidR="00FE5E53" w:rsidRDefault="00FE5E53" w:rsidP="00FE5E53">
      <w:pPr>
        <w:jc w:val="both"/>
      </w:pPr>
    </w:p>
    <w:p w14:paraId="690EE06E" w14:textId="77777777" w:rsidR="00FE5E53" w:rsidRDefault="00FE5E53" w:rsidP="00FE5E53">
      <w:pPr>
        <w:jc w:val="both"/>
      </w:pPr>
      <w:r>
        <w:t xml:space="preserve">Het horen en beantwoorden van oproepen, het lezen en leren uit het Leven en de Schrift, het spartelend zichzelf worden als mens, het bewust worden van zichzelf, het zien van nieuwe kansen en verre horizonten, de mogelijkheid ontdekken om samen te werken aan een nieuwe toekomst – het gaat natuurlijk allemaal niet vanzelf. Er moet (vaak achter de schermen, in de ‘sacristie’ terzijde van het altaar) heel wat toebereid worden om dit mogelijk te maken; er moeten heel wat voorzorgen genomen worden en heel wat voorwaarden gecreëerd om een </w:t>
      </w:r>
      <w:r>
        <w:lastRenderedPageBreak/>
        <w:t>klimaat te scheppen waarin menswording en bevrijding, waarin geloof en hoop en liefde tot stand kunnen komen. Er zijn tal van attenties nodig, ontelbaar veel gebaren van kleine goedheid, die het concreet mogelijk maken om Kerk en gemeenschap te laten gebeuren.</w:t>
      </w:r>
    </w:p>
    <w:p w14:paraId="690EE06F" w14:textId="77777777" w:rsidR="00FE5E53" w:rsidRDefault="00FE5E53" w:rsidP="00FE5E53">
      <w:pPr>
        <w:jc w:val="both"/>
      </w:pPr>
    </w:p>
    <w:p w14:paraId="690EE070" w14:textId="77777777" w:rsidR="00FE5E53" w:rsidRDefault="00FE5E53" w:rsidP="00FE5E53">
      <w:pPr>
        <w:jc w:val="both"/>
      </w:pPr>
      <w:r>
        <w:t>Er moeten kaarsen worden aangestoken. Om ruimte te maken voor ‘het Licht dat ons aanstoot in de morgen…’ Want iedereen heeft af en toe iemand nodig die licht aanbrengt, een aanmoediging, een verhelderend woord, een beetje perspectief.</w:t>
      </w:r>
    </w:p>
    <w:p w14:paraId="690EE071" w14:textId="77777777" w:rsidR="00FE5E53" w:rsidRDefault="00FE5E53" w:rsidP="00FE5E53">
      <w:pPr>
        <w:jc w:val="both"/>
      </w:pPr>
    </w:p>
    <w:p w14:paraId="690EE072" w14:textId="77777777" w:rsidR="00FE5E53" w:rsidRDefault="00FE5E53" w:rsidP="00FE5E53">
      <w:pPr>
        <w:jc w:val="both"/>
      </w:pPr>
      <w:r>
        <w:t xml:space="preserve">Er moet op tijd en stond brood op tafel worden gezet, om te breken en te delen met elkaar. En om voorgoed te weten: we hebben elkaar </w:t>
      </w:r>
      <w:proofErr w:type="spellStart"/>
      <w:r>
        <w:t>brood-nodig</w:t>
      </w:r>
      <w:proofErr w:type="spellEnd"/>
      <w:r>
        <w:t>. Er moet wijn worden aangebracht in bekers van vriendschap en verbondenheid. Als voorproefje van het feest dat we er in het Rijk Gods nu al en ooit samen willen van maken. Het wierookvat  van de bemoediging en de dankbaarheid moet worden klaargemaakt; er moet een kannetje met water zijn om bij de wijn te doen – want daarzonder kan het leven en samenleven niet. Er moet tijdig gebeld worden om op te staan, in eerbied en ingetogenheid, iedere keer dat de Levende Heer in ons midden komt…</w:t>
      </w:r>
    </w:p>
    <w:p w14:paraId="690EE073" w14:textId="77777777" w:rsidR="00FE5E53" w:rsidRDefault="00FE5E53" w:rsidP="00FE5E53">
      <w:pPr>
        <w:jc w:val="both"/>
      </w:pPr>
    </w:p>
    <w:p w14:paraId="690EE074" w14:textId="77777777" w:rsidR="00FE5E53" w:rsidRDefault="00FE5E53" w:rsidP="00FE5E53">
      <w:pPr>
        <w:jc w:val="both"/>
      </w:pPr>
      <w:r>
        <w:t xml:space="preserve">Er moeten ook genoeg stoelen worden aangebracht in de ‘tent van samenkomst’, zodat iedereen er een plaatsje kan krijgen en weet dat hij of zij verwacht wordt. De twee boeken moeten klaarliggen, het Boek van de Schrift en het Boek van het Leven. De sleutel van het tabernakel moet klaar zitten in het slot, om bij de communie aan de Verrezen Heer de kans te geven om bij de mensen (bij </w:t>
      </w:r>
      <w:proofErr w:type="spellStart"/>
      <w:r>
        <w:t>àlle</w:t>
      </w:r>
      <w:proofErr w:type="spellEnd"/>
      <w:r>
        <w:t xml:space="preserve"> mensen zonder onderscheid!) terecht te komen… </w:t>
      </w:r>
    </w:p>
    <w:p w14:paraId="690EE075" w14:textId="77777777" w:rsidR="00FE5E53" w:rsidRDefault="00FE5E53" w:rsidP="00FE5E53">
      <w:pPr>
        <w:jc w:val="both"/>
      </w:pPr>
    </w:p>
    <w:p w14:paraId="690EE076" w14:textId="77777777" w:rsidR="00FE5E53" w:rsidRDefault="00FE5E53" w:rsidP="00FE5E53">
      <w:pPr>
        <w:jc w:val="both"/>
      </w:pPr>
      <w:r>
        <w:t>Er  is voor een acoliet zoveel belangrijk werk te doen om onze kerkelijke samenkomsten mogelijk te maken. Dat is toch wat vanouds in de vermaning van de wijdelingen staat bij de acolieten: je moet de kandelaar dragen om te lichten; je moet water en wijn aanbrengen opdat de eucharistie kan gecelebreerd worden. De acoliet of misdienaar moet de lendenen omgord houden, en steeds klaar staan om mensen voor de lange levenstocht toe te rusten en van mogelijkheden te voorzien met een snee brood en een veldfles wijn als dagelijks proviand voor onderweg…</w:t>
      </w:r>
    </w:p>
    <w:p w14:paraId="690EE077" w14:textId="77777777" w:rsidR="00A67282" w:rsidRDefault="00A67282" w:rsidP="00A67282">
      <w:pPr>
        <w:jc w:val="both"/>
      </w:pPr>
    </w:p>
    <w:p w14:paraId="690EE078" w14:textId="77777777" w:rsidR="00A67282" w:rsidRPr="00A67282" w:rsidRDefault="00A67282" w:rsidP="00A67282">
      <w:pPr>
        <w:jc w:val="both"/>
        <w:rPr>
          <w:b/>
          <w:sz w:val="28"/>
          <w:szCs w:val="28"/>
        </w:rPr>
      </w:pPr>
      <w:r w:rsidRPr="00A67282">
        <w:rPr>
          <w:b/>
          <w:sz w:val="28"/>
          <w:szCs w:val="28"/>
        </w:rPr>
        <w:t>De wijding tot diaken</w:t>
      </w:r>
    </w:p>
    <w:p w14:paraId="690EE079" w14:textId="77777777" w:rsidR="00A67282" w:rsidRDefault="00A67282" w:rsidP="00A67282">
      <w:pPr>
        <w:jc w:val="both"/>
      </w:pPr>
    </w:p>
    <w:p w14:paraId="690EE07A" w14:textId="77777777" w:rsidR="00A67282" w:rsidRDefault="00A67282" w:rsidP="00A67282">
      <w:pPr>
        <w:jc w:val="both"/>
      </w:pPr>
      <w:r w:rsidRPr="007B2517">
        <w:t xml:space="preserve">Wanneer de diaken al die andere </w:t>
      </w:r>
      <w:r>
        <w:t xml:space="preserve">‘kleine </w:t>
      </w:r>
      <w:r w:rsidRPr="007B2517">
        <w:t>wijdingen</w:t>
      </w:r>
      <w:r>
        <w:t xml:space="preserve">’ niet in zich opneemt, </w:t>
      </w:r>
      <w:r w:rsidRPr="007B2517">
        <w:t xml:space="preserve">kan het nooit lukken om een goeie diaken te zijn. Als hij al die andere opdrachten, </w:t>
      </w:r>
      <w:r>
        <w:t xml:space="preserve">die </w:t>
      </w:r>
      <w:r w:rsidRPr="007B2517">
        <w:t xml:space="preserve">taken en ‘gewijde ambten’ niet geleerd heeft en zich eigen </w:t>
      </w:r>
      <w:r>
        <w:t>heeft gemaakt</w:t>
      </w:r>
      <w:r w:rsidRPr="007B2517">
        <w:t>; als hij die niet blijft leren (</w:t>
      </w:r>
      <w:r>
        <w:t xml:space="preserve">diaken worden is </w:t>
      </w:r>
      <w:r w:rsidRPr="007B2517">
        <w:t>levenslang leren!), is hij ongeschikt en onbekwaam om</w:t>
      </w:r>
      <w:r w:rsidR="0079448E">
        <w:t xml:space="preserve"> diaken te zijn in de Kerk. Het</w:t>
      </w:r>
      <w:r w:rsidRPr="007B2517">
        <w:t>zelfde geldt – en nog méér – voor een priester, een Bisschop en een Paus</w:t>
      </w:r>
      <w:r>
        <w:t>, want die zijn immers elk op hun manier en op hun tijd ooit ook diaken gewijd</w:t>
      </w:r>
      <w:r w:rsidRPr="007B2517">
        <w:t>…</w:t>
      </w:r>
    </w:p>
    <w:p w14:paraId="690EE07B" w14:textId="77777777" w:rsidR="00FE5E53" w:rsidRDefault="00FE5E53" w:rsidP="00FE5E53">
      <w:pPr>
        <w:jc w:val="both"/>
      </w:pPr>
    </w:p>
    <w:p w14:paraId="690EE07C" w14:textId="77777777" w:rsidR="00FE5E53" w:rsidRDefault="00FE5E53" w:rsidP="00FE5E53">
      <w:pPr>
        <w:jc w:val="both"/>
        <w:rPr>
          <w:color w:val="000000"/>
          <w:lang w:eastAsia="nl-BE"/>
        </w:rPr>
      </w:pPr>
      <w:r>
        <w:rPr>
          <w:color w:val="000000"/>
          <w:lang w:eastAsia="nl-BE"/>
        </w:rPr>
        <w:t>(voor dit stukje over ‘De kleine en grote wijdingen’ werd vooral inspiratie geput uit het onvolprezen boek van wijlen Piet Declercq: ‘Het volk van El Salvador – de bijbel opnieuw beleefd’)</w:t>
      </w:r>
    </w:p>
    <w:p w14:paraId="25848D6C" w14:textId="77777777" w:rsidR="005763F3" w:rsidRDefault="005763F3" w:rsidP="00FE5E53">
      <w:pPr>
        <w:jc w:val="both"/>
        <w:rPr>
          <w:color w:val="000000"/>
          <w:lang w:eastAsia="nl-BE"/>
        </w:rPr>
      </w:pPr>
    </w:p>
    <w:p w14:paraId="47E42729" w14:textId="342025B8" w:rsidR="005763F3" w:rsidRDefault="005763F3" w:rsidP="005763F3">
      <w:pPr>
        <w:jc w:val="right"/>
        <w:rPr>
          <w:color w:val="000000"/>
          <w:lang w:eastAsia="nl-BE"/>
        </w:rPr>
      </w:pPr>
      <w:r>
        <w:rPr>
          <w:color w:val="000000"/>
          <w:lang w:eastAsia="nl-BE"/>
        </w:rPr>
        <w:t xml:space="preserve">geert </w:t>
      </w:r>
      <w:proofErr w:type="spellStart"/>
      <w:r>
        <w:rPr>
          <w:color w:val="000000"/>
          <w:lang w:eastAsia="nl-BE"/>
        </w:rPr>
        <w:t>dedecker</w:t>
      </w:r>
      <w:proofErr w:type="spellEnd"/>
    </w:p>
    <w:sectPr w:rsidR="005763F3" w:rsidSect="00633BEB">
      <w:footerReference w:type="default" r:id="rId2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59EB" w14:textId="77777777" w:rsidR="00700EC9" w:rsidRDefault="00700EC9" w:rsidP="00700EC9">
      <w:r>
        <w:separator/>
      </w:r>
    </w:p>
  </w:endnote>
  <w:endnote w:type="continuationSeparator" w:id="0">
    <w:p w14:paraId="7EA1820B" w14:textId="77777777" w:rsidR="00700EC9" w:rsidRDefault="00700EC9" w:rsidP="0070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012243"/>
      <w:docPartObj>
        <w:docPartGallery w:val="Page Numbers (Bottom of Page)"/>
        <w:docPartUnique/>
      </w:docPartObj>
    </w:sdtPr>
    <w:sdtEndPr/>
    <w:sdtContent>
      <w:p w14:paraId="6819E033" w14:textId="2010D84D" w:rsidR="00700EC9" w:rsidRDefault="00700EC9">
        <w:pPr>
          <w:pStyle w:val="Voettekst"/>
          <w:jc w:val="right"/>
        </w:pPr>
        <w:r>
          <w:fldChar w:fldCharType="begin"/>
        </w:r>
        <w:r>
          <w:instrText>PAGE   \* MERGEFORMAT</w:instrText>
        </w:r>
        <w:r>
          <w:fldChar w:fldCharType="separate"/>
        </w:r>
        <w:r>
          <w:t>2</w:t>
        </w:r>
        <w:r>
          <w:fldChar w:fldCharType="end"/>
        </w:r>
      </w:p>
    </w:sdtContent>
  </w:sdt>
  <w:p w14:paraId="1A73ABD2" w14:textId="77777777" w:rsidR="00700EC9" w:rsidRDefault="00700E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11886" w14:textId="77777777" w:rsidR="00700EC9" w:rsidRDefault="00700EC9" w:rsidP="00700EC9">
      <w:r>
        <w:separator/>
      </w:r>
    </w:p>
  </w:footnote>
  <w:footnote w:type="continuationSeparator" w:id="0">
    <w:p w14:paraId="69403BC1" w14:textId="77777777" w:rsidR="00700EC9" w:rsidRDefault="00700EC9" w:rsidP="00700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179"/>
    <w:multiLevelType w:val="multilevel"/>
    <w:tmpl w:val="C2CC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B2F53"/>
    <w:multiLevelType w:val="multilevel"/>
    <w:tmpl w:val="646A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3178349">
    <w:abstractNumId w:val="1"/>
  </w:num>
  <w:num w:numId="2" w16cid:durableId="8087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D94"/>
    <w:rsid w:val="000B2752"/>
    <w:rsid w:val="00131D3C"/>
    <w:rsid w:val="005150F4"/>
    <w:rsid w:val="005763F3"/>
    <w:rsid w:val="005D2D94"/>
    <w:rsid w:val="00633BEB"/>
    <w:rsid w:val="00700EC9"/>
    <w:rsid w:val="007219C7"/>
    <w:rsid w:val="0079448E"/>
    <w:rsid w:val="007D0B1C"/>
    <w:rsid w:val="007E1A32"/>
    <w:rsid w:val="00877CF2"/>
    <w:rsid w:val="008F04F2"/>
    <w:rsid w:val="00910B91"/>
    <w:rsid w:val="009210B3"/>
    <w:rsid w:val="00A17EAF"/>
    <w:rsid w:val="00A67282"/>
    <w:rsid w:val="00B07F47"/>
    <w:rsid w:val="00BD2543"/>
    <w:rsid w:val="00CB220C"/>
    <w:rsid w:val="00E22B47"/>
    <w:rsid w:val="00E637F7"/>
    <w:rsid w:val="00FE5E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E01F"/>
  <w15:chartTrackingRefBased/>
  <w15:docId w15:val="{F7DBE11E-A258-48EE-8F9C-12C04AB9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2D94"/>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9448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448E"/>
    <w:rPr>
      <w:rFonts w:ascii="Segoe UI" w:eastAsia="Times New Roman" w:hAnsi="Segoe UI" w:cs="Segoe UI"/>
      <w:sz w:val="18"/>
      <w:szCs w:val="18"/>
      <w:lang w:val="nl-NL" w:eastAsia="nl-NL"/>
    </w:rPr>
  </w:style>
  <w:style w:type="paragraph" w:styleId="Koptekst">
    <w:name w:val="header"/>
    <w:basedOn w:val="Standaard"/>
    <w:link w:val="KoptekstChar"/>
    <w:uiPriority w:val="99"/>
    <w:unhideWhenUsed/>
    <w:rsid w:val="00700EC9"/>
    <w:pPr>
      <w:tabs>
        <w:tab w:val="center" w:pos="4536"/>
        <w:tab w:val="right" w:pos="9072"/>
      </w:tabs>
    </w:pPr>
  </w:style>
  <w:style w:type="character" w:customStyle="1" w:styleId="KoptekstChar">
    <w:name w:val="Koptekst Char"/>
    <w:basedOn w:val="Standaardalinea-lettertype"/>
    <w:link w:val="Koptekst"/>
    <w:uiPriority w:val="99"/>
    <w:rsid w:val="00700EC9"/>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700EC9"/>
    <w:pPr>
      <w:tabs>
        <w:tab w:val="center" w:pos="4536"/>
        <w:tab w:val="right" w:pos="9072"/>
      </w:tabs>
    </w:pPr>
  </w:style>
  <w:style w:type="character" w:customStyle="1" w:styleId="VoettekstChar">
    <w:name w:val="Voettekst Char"/>
    <w:basedOn w:val="Standaardalinea-lettertype"/>
    <w:link w:val="Voettekst"/>
    <w:uiPriority w:val="99"/>
    <w:rsid w:val="00700EC9"/>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Lector_(liturgie)" TargetMode="External"/><Relationship Id="rId13" Type="http://schemas.openxmlformats.org/officeDocument/2006/relationships/hyperlink" Target="https://nl.wikipedia.org/wiki/Priester" TargetMode="External"/><Relationship Id="rId18" Type="http://schemas.openxmlformats.org/officeDocument/2006/relationships/hyperlink" Target="https://nl.wikipedia.org/wiki/Priester" TargetMode="External"/><Relationship Id="rId26" Type="http://schemas.openxmlformats.org/officeDocument/2006/relationships/hyperlink" Target="https://nl.wikipedia.org/wiki/1973" TargetMode="External"/><Relationship Id="rId3" Type="http://schemas.openxmlformats.org/officeDocument/2006/relationships/settings" Target="settings.xml"/><Relationship Id="rId21" Type="http://schemas.openxmlformats.org/officeDocument/2006/relationships/hyperlink" Target="https://nl.wikipedia.org/wiki/Kruinschering" TargetMode="External"/><Relationship Id="rId7" Type="http://schemas.openxmlformats.org/officeDocument/2006/relationships/hyperlink" Target="https://nl.wikipedia.org/wiki/Ostiarius" TargetMode="External"/><Relationship Id="rId12" Type="http://schemas.openxmlformats.org/officeDocument/2006/relationships/hyperlink" Target="https://nl.wikipedia.org/wiki/Diaken" TargetMode="External"/><Relationship Id="rId17" Type="http://schemas.openxmlformats.org/officeDocument/2006/relationships/hyperlink" Target="https://nl.wikipedia.org/wiki/Priesterschap" TargetMode="External"/><Relationship Id="rId25" Type="http://schemas.openxmlformats.org/officeDocument/2006/relationships/hyperlink" Target="https://nl.wikipedia.org/wiki/1_januari" TargetMode="External"/><Relationship Id="rId2" Type="http://schemas.openxmlformats.org/officeDocument/2006/relationships/styles" Target="styles.xml"/><Relationship Id="rId16" Type="http://schemas.openxmlformats.org/officeDocument/2006/relationships/hyperlink" Target="https://nl.wikipedia.org/wiki/Bisschop" TargetMode="External"/><Relationship Id="rId20" Type="http://schemas.openxmlformats.org/officeDocument/2006/relationships/hyperlink" Target="https://nl.wikipedia.org/wiki/Tonsuu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wikipedia.org/wiki/Subdiaken" TargetMode="External"/><Relationship Id="rId24" Type="http://schemas.openxmlformats.org/officeDocument/2006/relationships/hyperlink" Target="https://nl.wikipedia.org/wiki/Paus_Paulus_VI" TargetMode="External"/><Relationship Id="rId5" Type="http://schemas.openxmlformats.org/officeDocument/2006/relationships/footnotes" Target="footnotes.xml"/><Relationship Id="rId15" Type="http://schemas.openxmlformats.org/officeDocument/2006/relationships/hyperlink" Target="https://nl.wikipedia.org/wiki/Paus_Cornelius" TargetMode="External"/><Relationship Id="rId23" Type="http://schemas.openxmlformats.org/officeDocument/2006/relationships/hyperlink" Target="https://nl.wikipedia.org/w/index.php?title=Ministeria_quaedam&amp;action=edit&amp;redlink=1" TargetMode="External"/><Relationship Id="rId28" Type="http://schemas.openxmlformats.org/officeDocument/2006/relationships/hyperlink" Target="https://nl.wikipedia.org/wiki/Brevier" TargetMode="External"/><Relationship Id="rId10" Type="http://schemas.openxmlformats.org/officeDocument/2006/relationships/hyperlink" Target="https://nl.wikipedia.org/wiki/Acoliet" TargetMode="External"/><Relationship Id="rId19" Type="http://schemas.openxmlformats.org/officeDocument/2006/relationships/hyperlink" Target="https://nl.wikipedia.org/wiki/Middeleeuw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l.wikipedia.org/wiki/Exorcist" TargetMode="External"/><Relationship Id="rId14" Type="http://schemas.openxmlformats.org/officeDocument/2006/relationships/hyperlink" Target="https://nl.wikipedia.org/wiki/252" TargetMode="External"/><Relationship Id="rId22" Type="http://schemas.openxmlformats.org/officeDocument/2006/relationships/hyperlink" Target="https://nl.wikipedia.org/wiki/Motu_proprio" TargetMode="External"/><Relationship Id="rId27" Type="http://schemas.openxmlformats.org/officeDocument/2006/relationships/hyperlink" Target="https://nl.wikipedia.org/wiki/Celibaat"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2036</Words>
  <Characters>11204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32</cp:revision>
  <cp:lastPrinted>2017-10-26T07:41:00Z</cp:lastPrinted>
  <dcterms:created xsi:type="dcterms:W3CDTF">2017-10-16T15:09:00Z</dcterms:created>
  <dcterms:modified xsi:type="dcterms:W3CDTF">2025-05-04T11:06:00Z</dcterms:modified>
</cp:coreProperties>
</file>