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C12C" w14:textId="6C5E8809" w:rsidR="00D46F18" w:rsidRPr="00D46F18" w:rsidRDefault="00D46F18" w:rsidP="00D46F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</w:pP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 xml:space="preserve"> Pact of </w:t>
      </w: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b/>
          <w:bCs/>
          <w:color w:val="404040"/>
          <w:kern w:val="36"/>
          <w:sz w:val="48"/>
          <w:szCs w:val="48"/>
          <w:lang w:eastAsia="nl-BE"/>
          <w14:ligatures w14:val="none"/>
        </w:rPr>
        <w:t>Catacombs</w:t>
      </w:r>
      <w:proofErr w:type="spellEnd"/>
    </w:p>
    <w:p w14:paraId="40D282FC" w14:textId="298B3DFC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noProof/>
          <w:color w:val="0000FF"/>
          <w:kern w:val="0"/>
          <w:sz w:val="29"/>
          <w:szCs w:val="29"/>
          <w:lang w:eastAsia="nl-BE"/>
          <w14:ligatures w14:val="none"/>
        </w:rPr>
        <w:drawing>
          <wp:inline distT="0" distB="0" distL="0" distR="0" wp14:anchorId="06F1DEF2" wp14:editId="345B319E">
            <wp:extent cx="762000" cy="752475"/>
            <wp:effectExtent l="0" t="0" r="0" b="9525"/>
            <wp:docPr id="1848519462" name="Afbeelding 4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E642" w14:textId="13E89E7A" w:rsidR="00D46F18" w:rsidRPr="00D46F18" w:rsidRDefault="00D46F18" w:rsidP="00D46F18">
      <w:pPr>
        <w:shd w:val="clear" w:color="auto" w:fill="FFFFFF"/>
        <w:spacing w:after="0" w:line="240" w:lineRule="auto"/>
        <w:rPr>
          <w:rFonts w:ascii="var(--font-family-meta)" w:eastAsia="Times New Roman" w:hAnsi="var(--font-family-meta)" w:cs="Times New Roman"/>
          <w:caps/>
          <w:color w:val="404040"/>
          <w:spacing w:val="3"/>
          <w:kern w:val="0"/>
          <w:sz w:val="17"/>
          <w:szCs w:val="17"/>
          <w:lang w:eastAsia="nl-BE"/>
          <w14:ligatures w14:val="none"/>
        </w:rPr>
      </w:pPr>
      <w:r>
        <w:rPr>
          <w:rFonts w:ascii="var(--font-family-meta)" w:eastAsia="Times New Roman" w:hAnsi="var(--font-family-meta)" w:cs="Times New Roman"/>
          <w:caps/>
          <w:color w:val="404040"/>
          <w:spacing w:val="3"/>
          <w:kern w:val="0"/>
          <w:sz w:val="17"/>
          <w:szCs w:val="17"/>
          <w:lang w:eastAsia="nl-BE"/>
          <w14:ligatures w14:val="none"/>
        </w:rPr>
        <w:t xml:space="preserve">Cardijnresearch - </w:t>
      </w:r>
      <w:hyperlink r:id="rId6" w:history="1">
        <w:r w:rsidRPr="00D46F18">
          <w:rPr>
            <w:rFonts w:ascii="var(--font-family-meta)" w:eastAsia="Times New Roman" w:hAnsi="var(--font-family-meta)" w:cs="Times New Roman"/>
            <w:caps/>
            <w:color w:val="0000FF"/>
            <w:spacing w:val="3"/>
            <w:kern w:val="0"/>
            <w:sz w:val="17"/>
            <w:szCs w:val="17"/>
            <w:u w:val="single"/>
            <w:lang w:eastAsia="nl-BE"/>
            <w14:ligatures w14:val="none"/>
          </w:rPr>
          <w:t>STEFAN GIGACZ</w:t>
        </w:r>
      </w:hyperlink>
    </w:p>
    <w:p w14:paraId="4F4958ED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var(--font-family-meta)" w:eastAsia="Times New Roman" w:hAnsi="var(--font-family-meta)" w:cs="Times New Roman"/>
          <w:caps/>
          <w:color w:val="404040"/>
          <w:spacing w:val="3"/>
          <w:kern w:val="0"/>
          <w:sz w:val="17"/>
          <w:szCs w:val="17"/>
          <w:lang w:eastAsia="nl-BE"/>
          <w14:ligatures w14:val="none"/>
        </w:rPr>
      </w:pPr>
      <w:r w:rsidRPr="00D46F18">
        <w:rPr>
          <w:rFonts w:ascii="var(--font-family-meta)" w:eastAsia="Times New Roman" w:hAnsi="var(--font-family-meta)" w:cs="Times New Roman"/>
          <w:caps/>
          <w:color w:val="404040"/>
          <w:spacing w:val="3"/>
          <w:kern w:val="0"/>
          <w:sz w:val="17"/>
          <w:szCs w:val="17"/>
          <w:lang w:eastAsia="nl-BE"/>
          <w14:ligatures w14:val="none"/>
        </w:rPr>
        <w:t>20 OKT 2019</w:t>
      </w:r>
    </w:p>
    <w:p w14:paraId="3044D22B" w14:textId="2BC7E35A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</w:p>
    <w:p w14:paraId="5B3F84E6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bdr w:val="none" w:sz="0" w:space="0" w:color="auto" w:frame="1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begin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instrText>HYPERLINK "https://substackcdn.com/image/fetch/f_auto,q_auto:good,fl_progressive:steep/https%3A%2F%2Fsubstack-post-media.s3.amazonaws.com%2Fpublic%2Fimages%2Fe8c3d986-d32d-43d6-9cc3-d7a7a16622f6_400x234.jpeg" \t "_blank"</w:instrTex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separate"/>
      </w:r>
    </w:p>
    <w:p w14:paraId="2EDA5E1F" w14:textId="7B7C1F48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noProof/>
          <w:color w:val="0000FF"/>
          <w:kern w:val="0"/>
          <w:sz w:val="29"/>
          <w:szCs w:val="29"/>
          <w:bdr w:val="none" w:sz="0" w:space="0" w:color="auto" w:frame="1"/>
          <w:lang w:eastAsia="nl-BE"/>
          <w14:ligatures w14:val="none"/>
        </w:rPr>
        <w:drawing>
          <wp:inline distT="0" distB="0" distL="0" distR="0" wp14:anchorId="08029873" wp14:editId="7FDDCFDC">
            <wp:extent cx="3810000" cy="2228850"/>
            <wp:effectExtent l="0" t="0" r="0" b="0"/>
            <wp:docPr id="1660816444" name="Afbeelding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99AB0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end"/>
      </w:r>
    </w:p>
    <w:p w14:paraId="2A901A18" w14:textId="77777777" w:rsidR="00D46F18" w:rsidRPr="00D46F18" w:rsidRDefault="00D46F18" w:rsidP="00D46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Synod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Pan-Amazon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region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reaches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conclusion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Rome,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around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150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participants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have met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Domitilla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Catacombs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commit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themselves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 new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updated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hyperlink r:id="rId9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Pact of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Catacombs</w:t>
        </w:r>
        <w:proofErr w:type="spellEnd"/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modelled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 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begin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instrText>HYPERLINK "https://www.pactofthecatacombs.com/"</w:instrTex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separate"/>
      </w:r>
      <w:r w:rsidRPr="00D46F18">
        <w:rPr>
          <w:rFonts w:ascii="Times New Roman" w:eastAsia="Times New Roman" w:hAnsi="Times New Roman" w:cs="Times New Roman"/>
          <w:color w:val="0000FF"/>
          <w:kern w:val="0"/>
          <w:sz w:val="29"/>
          <w:szCs w:val="29"/>
          <w:u w:val="single"/>
          <w:lang w:eastAsia="nl-BE"/>
          <w14:ligatures w14:val="none"/>
        </w:rPr>
        <w:t>original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end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which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was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adopted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40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mostly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end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Second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Vatican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Council.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this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context,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it's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recalling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origins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1965 pact,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which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developed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proposal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Brazilian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Archbishop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Helder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was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one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leading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lights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Jesus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Christ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group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Vatican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II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which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consistently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over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course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Council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ensure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would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make a commitment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social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justice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lay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apostolate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Significantly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many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leaders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members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group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became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known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were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had personal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experience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chaplains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JOC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Specialised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Catholic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Action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movements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Thus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fourth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final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session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Vatican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II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began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wanted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ensure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Council’s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commitments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would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not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vain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lastRenderedPageBreak/>
        <w:br/>
        <w:t xml:space="preserve">He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therefore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developed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proposal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two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concelebrated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masses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“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reach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out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people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”,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one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consecrated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workers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":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(The first was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) a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concelebration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Cardijn’s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cardinal’s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involving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twenty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around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world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(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difficulty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select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).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others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also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invited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 A Mass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specially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dedicated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workers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Delegations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neighbouring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countries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come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Workers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Rome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come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midst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Mass,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take a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solemn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oath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more concrete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binding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 The minimum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promise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renounce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purple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habits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title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Excellency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...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After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mass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have coffee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confraternity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with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working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class.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Another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concelebration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(was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held) at St Mary’s at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Trastevere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one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poorest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neighbourhoods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 Rome...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Twenty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whole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world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(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again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difficulty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choose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),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perhaps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around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Cardinal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Lercaro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or Patriarch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Maximos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IV,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who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protector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Group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which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is a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little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suspect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eyes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Holy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Office.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invite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people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neighbourhood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... 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wrote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relation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Mass on 17 September 1965.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</w:p>
    <w:p w14:paraId="7545E17C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bdr w:val="none" w:sz="0" w:space="0" w:color="auto" w:frame="1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begin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instrText>HYPERLINK "https://substackcdn.com/image/fetch/f_auto,q_auto:good,fl_progressive:steep/https%3A%2F%2Fsubstack-post-media.s3.amazonaws.com%2Fpublic%2Fimages%2F7111d831-7827-4ab2-b654-79c06230c636_408x640.jpeg" \t "_blank"</w:instrTex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separate"/>
      </w:r>
    </w:p>
    <w:p w14:paraId="14E838ED" w14:textId="6A3BAFD1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noProof/>
          <w:color w:val="0000FF"/>
          <w:kern w:val="0"/>
          <w:sz w:val="29"/>
          <w:szCs w:val="29"/>
          <w:bdr w:val="none" w:sz="0" w:space="0" w:color="auto" w:frame="1"/>
          <w:lang w:eastAsia="nl-BE"/>
          <w14:ligatures w14:val="none"/>
        </w:rPr>
        <w:lastRenderedPageBreak/>
        <w:drawing>
          <wp:inline distT="0" distB="0" distL="0" distR="0" wp14:anchorId="669F1F89" wp14:editId="1132F05C">
            <wp:extent cx="3886200" cy="6096000"/>
            <wp:effectExtent l="0" t="0" r="0" b="0"/>
            <wp:docPr id="912594876" name="Afbeelding 2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9EB6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end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begin"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instrText>HYPERLINK "https://substackcdn.com/image/fetch/f_auto,q_auto:good,fl_progressive:steep/https%3A%2F%2Fsubstack-post-media.s3.amazonaws.com%2Fpublic%2Fimages%2Fab255ee8-b5c4-496a-b374-23a30fbe9a9a_422x640.jpeg" \t "_blank"</w:instrTex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separate"/>
      </w:r>
    </w:p>
    <w:p w14:paraId="49C171F3" w14:textId="0D504AE9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noProof/>
          <w:color w:val="0000FF"/>
          <w:kern w:val="0"/>
          <w:sz w:val="29"/>
          <w:szCs w:val="29"/>
          <w:bdr w:val="none" w:sz="0" w:space="0" w:color="auto" w:frame="1"/>
          <w:lang w:eastAsia="nl-BE"/>
          <w14:ligatures w14:val="none"/>
        </w:rPr>
        <w:lastRenderedPageBreak/>
        <w:drawing>
          <wp:inline distT="0" distB="0" distL="0" distR="0" wp14:anchorId="0189A79C" wp14:editId="1234C402">
            <wp:extent cx="4019550" cy="6096000"/>
            <wp:effectExtent l="0" t="0" r="0" b="0"/>
            <wp:docPr id="782484871" name="Afbeelding 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5C35" w14:textId="77777777" w:rsidR="00D46F18" w:rsidRPr="00D46F18" w:rsidRDefault="00D46F18" w:rsidP="00D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fldChar w:fldCharType="end"/>
      </w:r>
    </w:p>
    <w:p w14:paraId="56072A6E" w14:textId="77777777" w:rsidR="00D46F18" w:rsidRPr="00D46F18" w:rsidRDefault="00D46F18" w:rsidP="00D46F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</w:pP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Read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letter here in French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English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translation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14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http://testimonies.josephcardijn.com/1965---camara---proposal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As is well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known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in 1903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had made a personal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consecration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his life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class at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deathbed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his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father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Henri,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was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dying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prematurely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from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overwork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industrial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disease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.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Typically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however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he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felt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somewhat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reluctant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have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himself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taken as a model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solemn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oath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proposed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conveyed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this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latter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lastRenderedPageBreak/>
        <w:t xml:space="preserve">The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eventual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outcome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was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two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proposed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masses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went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ahead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slightly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amended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form.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On 16 November, Bishop Charles-Marie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Himmer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a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committed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disciple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former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led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Group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presided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over a special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mass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Domitilla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Catacombs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with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forty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participants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many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them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also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former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SCA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chaplains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Here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signed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Pact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Catacombs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adapting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Cardijn’s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vow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devote his life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class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committing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themselves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evangelical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poverty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try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live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according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ordinary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manner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people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concerns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housing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food, means of transport,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related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matters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br/>
        <w:t xml:space="preserve">We renounce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forever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appearance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substance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wealth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…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br/>
        <w:t xml:space="preserve">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not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possess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own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names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properties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or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other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goods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nor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we have bank accounts or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like…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br/>
        <w:t xml:space="preserve">As far as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possible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entrust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financial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material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running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diocese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a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commission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competent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lay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persons…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Accordingly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make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effort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“review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lives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”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with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them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;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will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seek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collaborators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ministry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so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we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can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animators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according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Spirit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rather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than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dominators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according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world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…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The second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mass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with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himself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took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place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next evening – 17 November,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eve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promulgation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 </w:t>
      </w:r>
      <w:hyperlink r:id="rId15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Apostolicam Actuositatem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 – at his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titular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St Michael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Archangel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Rome’s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class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Pietralata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district.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another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statement,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participants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witnessed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value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their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experiences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jocist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chaplains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discovering “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extent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which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lay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people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are keen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understand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their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proper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role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world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sons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daughters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”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their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capacities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“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apostolic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responsibilities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”: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hope is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all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our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brothers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episcopate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become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increasingly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conscious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possibilities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laity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particularly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worker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laity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, hope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Church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at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heart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world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today</w:t>
      </w:r>
      <w:proofErr w:type="spellEnd"/>
      <w:r w:rsidRPr="00D46F18">
        <w:rPr>
          <w:rFonts w:ascii="Times New Roman" w:eastAsia="Times New Roman" w:hAnsi="Times New Roman" w:cs="Times New Roman"/>
          <w:i/>
          <w:iCs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lastRenderedPageBreak/>
        <w:t>“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This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particular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,”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said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“is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experience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unceasingly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renewed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across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continents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authentic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JOC.”  It was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also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eloquent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testimony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efficacy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JOC’s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incarnational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approach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bringing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Good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News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poor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Read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Pietralata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Message here: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16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French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 (Original)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17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English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 (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Translation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)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The Pact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Catacombs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remained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long-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forgotten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or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unknown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many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parts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only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under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Pope Francis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interest has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grown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point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that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has a website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own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: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18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www.pactofthecatacombs.com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>The second "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worker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mass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organised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Camara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celebrated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has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remained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even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greater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obscurity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The new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updated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"Pact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Catacombs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for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Common Home"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adopted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Amazonian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Synod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bishops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also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includes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 commitment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Mother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Earth.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Perhaps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it's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also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time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prepare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a new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and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necessary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counterpart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based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on a commitment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to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role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of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laity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drawing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on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the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one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made at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Pietralata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with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in 1965.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>REFERENCE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Stefan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Gigacz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,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Chapter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10, </w:t>
      </w:r>
      <w:hyperlink r:id="rId19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The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Leaven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in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Council: Joseph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Cardijn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and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Jocist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Network at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Vatican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II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.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20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The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jocist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bishops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who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signed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Pact of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Catacombs</w:t>
        </w:r>
        <w:proofErr w:type="spellEnd"/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 (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Cardijn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 Research)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21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Pact of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Catacombs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for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Common Home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 xml:space="preserve"> (English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text</w:t>
      </w:r>
      <w:proofErr w:type="spellEnd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)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hyperlink r:id="rId22" w:history="1"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New Pact of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the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Catacombs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for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</w:t>
        </w:r>
        <w:proofErr w:type="spellStart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>Our</w:t>
        </w:r>
        <w:proofErr w:type="spellEnd"/>
        <w:r w:rsidRPr="00D46F18">
          <w:rPr>
            <w:rFonts w:ascii="Times New Roman" w:eastAsia="Times New Roman" w:hAnsi="Times New Roman" w:cs="Times New Roman"/>
            <w:color w:val="0000FF"/>
            <w:kern w:val="0"/>
            <w:sz w:val="29"/>
            <w:szCs w:val="29"/>
            <w:u w:val="single"/>
            <w:lang w:eastAsia="nl-BE"/>
            <w14:ligatures w14:val="none"/>
          </w:rPr>
          <w:t xml:space="preserve"> Common Home</w:t>
        </w:r>
      </w:hyperlink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 (Cardijn.info)</w:t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</w:r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br/>
        <w:t xml:space="preserve">Stefan </w:t>
      </w:r>
      <w:proofErr w:type="spellStart"/>
      <w:r w:rsidRPr="00D46F18">
        <w:rPr>
          <w:rFonts w:ascii="Times New Roman" w:eastAsia="Times New Roman" w:hAnsi="Times New Roman" w:cs="Times New Roman"/>
          <w:color w:val="404040"/>
          <w:kern w:val="0"/>
          <w:sz w:val="29"/>
          <w:szCs w:val="29"/>
          <w:lang w:eastAsia="nl-BE"/>
          <w14:ligatures w14:val="none"/>
        </w:rPr>
        <w:t>Gigacz</w:t>
      </w:r>
      <w:proofErr w:type="spellEnd"/>
    </w:p>
    <w:p w14:paraId="46239CBE" w14:textId="77777777" w:rsidR="00C14ACC" w:rsidRDefault="00C14ACC" w:rsidP="00D46F18">
      <w:pPr>
        <w:spacing w:line="240" w:lineRule="auto"/>
      </w:pPr>
    </w:p>
    <w:sectPr w:rsidR="00C1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-meta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8"/>
    <w:rsid w:val="00C14ACC"/>
    <w:rsid w:val="00D4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4894"/>
  <w15:chartTrackingRefBased/>
  <w15:docId w15:val="{CDFCAF7C-53BF-44D2-88BD-40A7392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4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6F1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46F1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4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Nadruk">
    <w:name w:val="Emphasis"/>
    <w:basedOn w:val="Standaardalinea-lettertype"/>
    <w:uiPriority w:val="20"/>
    <w:qFormat/>
    <w:rsid w:val="00D4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pactofthecatacomb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EUrf6dOK2c_22-MPzjmwwZHtilvZ7GXtPdSYVyFtiow/edit?usp=sharing" TargetMode="External"/><Relationship Id="rId7" Type="http://schemas.openxmlformats.org/officeDocument/2006/relationships/hyperlink" Target="https://substackcdn.com/image/fetch/f_auto,q_auto:good,fl_progressive:steep/https%3A%2F%2Fsubstack-post-media.s3.amazonaws.com%2Fpublic%2Fimages%2Fe8c3d986-d32d-43d6-9cc3-d7a7a16622f6_400x234.jpeg" TargetMode="External"/><Relationship Id="rId12" Type="http://schemas.openxmlformats.org/officeDocument/2006/relationships/hyperlink" Target="https://substackcdn.com/image/fetch/f_auto,q_auto:good,fl_progressive:steep/https%3A%2F%2Fsubstack-post-media.s3.amazonaws.com%2Fpublic%2Fimages%2Fab255ee8-b5c4-496a-b374-23a30fbe9a9a_422x640.jpeg" TargetMode="External"/><Relationship Id="rId17" Type="http://schemas.openxmlformats.org/officeDocument/2006/relationships/hyperlink" Target="http://www.josephcardijn.com/1965---pietralata-mess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osephcardijn.fr/1965---message-de-pietralata" TargetMode="External"/><Relationship Id="rId20" Type="http://schemas.openxmlformats.org/officeDocument/2006/relationships/hyperlink" Target="http://www.cardijnresearch.org/2019/10/the-jocist-bishops-who-signed-pact-of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ubstack.com/@synodality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vatican.va/archive/hist_councils/ii_vatican_council/documents/vat-ii_decree_19651118_apostolicam-actuositatem_e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bstackcdn.com/image/fetch/f_auto,q_auto:good,fl_progressive:steep/https%3A%2F%2Fsubstack-post-media.s3.amazonaws.com%2Fpublic%2Fimages%2F7111d831-7827-4ab2-b654-79c06230c636_408x640.jpeg" TargetMode="External"/><Relationship Id="rId19" Type="http://schemas.openxmlformats.org/officeDocument/2006/relationships/hyperlink" Target="https://repository.divinity.edu.au/3448/" TargetMode="External"/><Relationship Id="rId4" Type="http://schemas.openxmlformats.org/officeDocument/2006/relationships/hyperlink" Target="https://substack.com/profile/8528539-stefan-gigacz" TargetMode="External"/><Relationship Id="rId9" Type="http://schemas.openxmlformats.org/officeDocument/2006/relationships/hyperlink" Target="https://cruxnow.com/amazon-synod/2019/10/19/synod-bishops-to-renew-vatican-iis-pact-of-the-catacombs-for-the-poor/" TargetMode="External"/><Relationship Id="rId14" Type="http://schemas.openxmlformats.org/officeDocument/2006/relationships/hyperlink" Target="http://testimonies.josephcardijn.com/1965---camara---proposal" TargetMode="External"/><Relationship Id="rId22" Type="http://schemas.openxmlformats.org/officeDocument/2006/relationships/hyperlink" Target="https://www.cardijn.info/new-pact-of-the-catacombs-for-our-common-hom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2023-10-02T13:30:00Z</dcterms:created>
  <dcterms:modified xsi:type="dcterms:W3CDTF">2023-10-02T13:32:00Z</dcterms:modified>
</cp:coreProperties>
</file>